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tbl>
      <w:tblPr>
        <w:tblStyle w:val="7"/>
        <w:tblpPr w:leftFromText="180" w:rightFromText="180" w:vertAnchor="text" w:horzAnchor="page" w:tblpX="566" w:tblpY="524"/>
        <w:tblOverlap w:val="never"/>
        <w:tblW w:w="15780" w:type="dxa"/>
        <w:tblInd w:w="0" w:type="dxa"/>
        <w:shd w:val="clear" w:color="auto" w:fill="auto"/>
        <w:tblLayout w:type="autofit"/>
        <w:tblCellMar>
          <w:top w:w="0" w:type="dxa"/>
          <w:left w:w="0" w:type="dxa"/>
          <w:bottom w:w="0" w:type="dxa"/>
          <w:right w:w="0" w:type="dxa"/>
        </w:tblCellMar>
      </w:tblPr>
      <w:tblGrid>
        <w:gridCol w:w="331"/>
        <w:gridCol w:w="1199"/>
        <w:gridCol w:w="1028"/>
        <w:gridCol w:w="810"/>
        <w:gridCol w:w="608"/>
        <w:gridCol w:w="594"/>
        <w:gridCol w:w="594"/>
        <w:gridCol w:w="1175"/>
        <w:gridCol w:w="1954"/>
        <w:gridCol w:w="594"/>
        <w:gridCol w:w="527"/>
        <w:gridCol w:w="1016"/>
        <w:gridCol w:w="857"/>
        <w:gridCol w:w="913"/>
        <w:gridCol w:w="1840"/>
        <w:gridCol w:w="527"/>
        <w:gridCol w:w="686"/>
        <w:gridCol w:w="527"/>
      </w:tblGrid>
      <w:tr>
        <w:tblPrEx>
          <w:shd w:val="clear" w:color="auto" w:fill="auto"/>
          <w:tblCellMar>
            <w:top w:w="0" w:type="dxa"/>
            <w:left w:w="0" w:type="dxa"/>
            <w:bottom w:w="0" w:type="dxa"/>
            <w:right w:w="0" w:type="dxa"/>
          </w:tblCellMar>
        </w:tblPrEx>
        <w:trPr>
          <w:trHeight w:val="543" w:hRule="atLeast"/>
        </w:trPr>
        <w:tc>
          <w:tcPr>
            <w:tcW w:w="15780" w:type="dxa"/>
            <w:gridSpan w:val="18"/>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default" w:ascii="方正小标宋简体" w:hAnsi="方正小标宋简体" w:eastAsia="方正小标宋简体" w:cs="方正小标宋简体"/>
                <w:i w:val="0"/>
                <w:color w:val="000000"/>
                <w:kern w:val="0"/>
                <w:sz w:val="36"/>
                <w:szCs w:val="36"/>
                <w:u w:val="none"/>
                <w:lang w:val="en-US" w:eastAsia="zh-CN" w:bidi="ar"/>
              </w:rPr>
              <w:t>新增医疗服务项目及市属公立医院价格表</w:t>
            </w:r>
          </w:p>
        </w:tc>
      </w:tr>
      <w:tr>
        <w:tblPrEx>
          <w:tblCellMar>
            <w:top w:w="0" w:type="dxa"/>
            <w:left w:w="0" w:type="dxa"/>
            <w:bottom w:w="0" w:type="dxa"/>
            <w:right w:w="0" w:type="dxa"/>
          </w:tblCellMar>
        </w:tblPrEx>
        <w:trPr>
          <w:trHeight w:val="288" w:hRule="atLeast"/>
        </w:trPr>
        <w:tc>
          <w:tcPr>
            <w:tcW w:w="331" w:type="dxa"/>
            <w:tcBorders>
              <w:top w:val="nil"/>
              <w:left w:val="nil"/>
              <w:bottom w:val="nil"/>
              <w:right w:val="nil"/>
            </w:tcBorders>
            <w:shd w:val="clear" w:color="auto" w:fill="FFFFFF"/>
            <w:noWrap/>
            <w:tcMar>
              <w:top w:w="12" w:type="dxa"/>
              <w:left w:w="12" w:type="dxa"/>
              <w:right w:w="12" w:type="dxa"/>
            </w:tcMar>
            <w:vAlign w:val="center"/>
          </w:tcPr>
          <w:p>
            <w:pPr>
              <w:jc w:val="center"/>
              <w:rPr>
                <w:rFonts w:hint="eastAsia" w:ascii="宋体" w:hAnsi="宋体" w:eastAsia="宋体" w:cs="宋体"/>
                <w:b/>
                <w:i w:val="0"/>
                <w:color w:val="000000"/>
                <w:sz w:val="28"/>
                <w:szCs w:val="28"/>
                <w:u w:val="none"/>
              </w:rPr>
            </w:pPr>
          </w:p>
        </w:tc>
        <w:tc>
          <w:tcPr>
            <w:tcW w:w="1199" w:type="dxa"/>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8"/>
                <w:szCs w:val="28"/>
                <w:u w:val="none"/>
              </w:rPr>
            </w:pPr>
          </w:p>
        </w:tc>
        <w:tc>
          <w:tcPr>
            <w:tcW w:w="1028" w:type="dxa"/>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8"/>
                <w:szCs w:val="28"/>
                <w:u w:val="none"/>
              </w:rPr>
            </w:pPr>
          </w:p>
        </w:tc>
        <w:tc>
          <w:tcPr>
            <w:tcW w:w="810" w:type="dxa"/>
            <w:tcBorders>
              <w:top w:val="nil"/>
              <w:left w:val="nil"/>
              <w:bottom w:val="nil"/>
              <w:right w:val="nil"/>
            </w:tcBorders>
            <w:shd w:val="clear" w:color="auto" w:fill="FFFFFF"/>
            <w:noWrap/>
            <w:tcMar>
              <w:top w:w="12" w:type="dxa"/>
              <w:left w:w="12" w:type="dxa"/>
              <w:right w:w="12" w:type="dxa"/>
            </w:tcMar>
            <w:vAlign w:val="center"/>
          </w:tcPr>
          <w:p>
            <w:pPr>
              <w:jc w:val="center"/>
              <w:rPr>
                <w:rFonts w:hint="eastAsia" w:ascii="宋体" w:hAnsi="宋体" w:eastAsia="宋体" w:cs="宋体"/>
                <w:b/>
                <w:i w:val="0"/>
                <w:color w:val="000000"/>
                <w:sz w:val="28"/>
                <w:szCs w:val="28"/>
                <w:u w:val="none"/>
              </w:rPr>
            </w:pPr>
          </w:p>
        </w:tc>
        <w:tc>
          <w:tcPr>
            <w:tcW w:w="608" w:type="dxa"/>
            <w:tcBorders>
              <w:top w:val="nil"/>
              <w:left w:val="nil"/>
              <w:bottom w:val="nil"/>
              <w:right w:val="nil"/>
            </w:tcBorders>
            <w:shd w:val="clear" w:color="auto" w:fill="FFFFFF"/>
            <w:noWrap/>
            <w:tcMar>
              <w:top w:w="12" w:type="dxa"/>
              <w:left w:w="12" w:type="dxa"/>
              <w:right w:w="12" w:type="dxa"/>
            </w:tcMar>
            <w:vAlign w:val="center"/>
          </w:tcPr>
          <w:p>
            <w:pPr>
              <w:jc w:val="center"/>
              <w:rPr>
                <w:rFonts w:hint="eastAsia" w:ascii="宋体" w:hAnsi="宋体" w:eastAsia="宋体" w:cs="宋体"/>
                <w:b/>
                <w:i w:val="0"/>
                <w:color w:val="000000"/>
                <w:sz w:val="28"/>
                <w:szCs w:val="28"/>
                <w:u w:val="none"/>
              </w:rPr>
            </w:pPr>
          </w:p>
        </w:tc>
        <w:tc>
          <w:tcPr>
            <w:tcW w:w="594" w:type="dxa"/>
            <w:tcBorders>
              <w:top w:val="nil"/>
              <w:left w:val="nil"/>
              <w:bottom w:val="nil"/>
              <w:right w:val="nil"/>
            </w:tcBorders>
            <w:shd w:val="clear" w:color="auto" w:fill="FFFFFF"/>
            <w:noWrap/>
            <w:tcMar>
              <w:top w:w="12" w:type="dxa"/>
              <w:left w:w="12" w:type="dxa"/>
              <w:right w:w="12" w:type="dxa"/>
            </w:tcMar>
            <w:vAlign w:val="center"/>
          </w:tcPr>
          <w:p>
            <w:pPr>
              <w:jc w:val="center"/>
              <w:rPr>
                <w:rFonts w:hint="eastAsia" w:ascii="宋体" w:hAnsi="宋体" w:eastAsia="宋体" w:cs="宋体"/>
                <w:b/>
                <w:i w:val="0"/>
                <w:color w:val="000000"/>
                <w:sz w:val="28"/>
                <w:szCs w:val="28"/>
                <w:u w:val="none"/>
              </w:rPr>
            </w:pPr>
          </w:p>
        </w:tc>
        <w:tc>
          <w:tcPr>
            <w:tcW w:w="594" w:type="dxa"/>
            <w:tcBorders>
              <w:top w:val="nil"/>
              <w:left w:val="nil"/>
              <w:bottom w:val="nil"/>
              <w:right w:val="nil"/>
            </w:tcBorders>
            <w:shd w:val="clear" w:color="auto" w:fill="FFFFFF"/>
            <w:noWrap/>
            <w:tcMar>
              <w:top w:w="12" w:type="dxa"/>
              <w:left w:w="12" w:type="dxa"/>
              <w:right w:w="12" w:type="dxa"/>
            </w:tcMar>
            <w:vAlign w:val="center"/>
          </w:tcPr>
          <w:p>
            <w:pPr>
              <w:jc w:val="center"/>
              <w:rPr>
                <w:rFonts w:hint="eastAsia" w:ascii="宋体" w:hAnsi="宋体" w:eastAsia="宋体" w:cs="宋体"/>
                <w:b/>
                <w:i w:val="0"/>
                <w:color w:val="000000"/>
                <w:sz w:val="28"/>
                <w:szCs w:val="28"/>
                <w:u w:val="none"/>
              </w:rPr>
            </w:pPr>
          </w:p>
        </w:tc>
        <w:tc>
          <w:tcPr>
            <w:tcW w:w="1175" w:type="dxa"/>
            <w:tcBorders>
              <w:top w:val="nil"/>
              <w:left w:val="nil"/>
              <w:bottom w:val="nil"/>
              <w:right w:val="nil"/>
            </w:tcBorders>
            <w:shd w:val="clear" w:color="auto" w:fill="FFFFFF"/>
            <w:noWrap/>
            <w:tcMar>
              <w:top w:w="12" w:type="dxa"/>
              <w:left w:w="12" w:type="dxa"/>
              <w:right w:w="12" w:type="dxa"/>
            </w:tcMar>
            <w:vAlign w:val="center"/>
          </w:tcPr>
          <w:p>
            <w:pPr>
              <w:jc w:val="center"/>
              <w:rPr>
                <w:rFonts w:hint="eastAsia" w:ascii="宋体" w:hAnsi="宋体" w:eastAsia="宋体" w:cs="宋体"/>
                <w:b/>
                <w:i w:val="0"/>
                <w:color w:val="000000"/>
                <w:sz w:val="28"/>
                <w:szCs w:val="28"/>
                <w:u w:val="none"/>
              </w:rPr>
            </w:pPr>
          </w:p>
        </w:tc>
        <w:tc>
          <w:tcPr>
            <w:tcW w:w="1954" w:type="dxa"/>
            <w:tcBorders>
              <w:top w:val="nil"/>
              <w:left w:val="nil"/>
              <w:bottom w:val="nil"/>
              <w:right w:val="nil"/>
            </w:tcBorders>
            <w:shd w:val="clear" w:color="auto" w:fill="FFFFFF"/>
            <w:noWrap/>
            <w:tcMar>
              <w:top w:w="12" w:type="dxa"/>
              <w:left w:w="12" w:type="dxa"/>
              <w:right w:w="12" w:type="dxa"/>
            </w:tcMar>
            <w:vAlign w:val="center"/>
          </w:tcPr>
          <w:p>
            <w:pPr>
              <w:jc w:val="center"/>
              <w:rPr>
                <w:rFonts w:hint="eastAsia" w:ascii="宋体" w:hAnsi="宋体" w:eastAsia="宋体" w:cs="宋体"/>
                <w:b/>
                <w:i w:val="0"/>
                <w:color w:val="000000"/>
                <w:sz w:val="28"/>
                <w:szCs w:val="28"/>
                <w:u w:val="none"/>
              </w:rPr>
            </w:pPr>
          </w:p>
        </w:tc>
        <w:tc>
          <w:tcPr>
            <w:tcW w:w="594" w:type="dxa"/>
            <w:tcBorders>
              <w:top w:val="nil"/>
              <w:left w:val="nil"/>
              <w:bottom w:val="nil"/>
              <w:right w:val="nil"/>
            </w:tcBorders>
            <w:shd w:val="clear" w:color="auto" w:fill="FFFFFF"/>
            <w:noWrap/>
            <w:tcMar>
              <w:top w:w="12" w:type="dxa"/>
              <w:left w:w="12" w:type="dxa"/>
              <w:right w:w="12" w:type="dxa"/>
            </w:tcMar>
            <w:vAlign w:val="center"/>
          </w:tcPr>
          <w:p>
            <w:pPr>
              <w:jc w:val="center"/>
              <w:rPr>
                <w:rFonts w:hint="eastAsia" w:ascii="宋体" w:hAnsi="宋体" w:eastAsia="宋体" w:cs="宋体"/>
                <w:b/>
                <w:i w:val="0"/>
                <w:color w:val="000000"/>
                <w:sz w:val="28"/>
                <w:szCs w:val="28"/>
                <w:u w:val="none"/>
              </w:rPr>
            </w:pPr>
          </w:p>
        </w:tc>
        <w:tc>
          <w:tcPr>
            <w:tcW w:w="527" w:type="dxa"/>
            <w:tcBorders>
              <w:top w:val="nil"/>
              <w:left w:val="nil"/>
              <w:bottom w:val="nil"/>
              <w:right w:val="nil"/>
            </w:tcBorders>
            <w:shd w:val="clear" w:color="auto" w:fill="FFFFFF"/>
            <w:noWrap/>
            <w:tcMar>
              <w:top w:w="12" w:type="dxa"/>
              <w:left w:w="12" w:type="dxa"/>
              <w:right w:w="12" w:type="dxa"/>
            </w:tcMar>
            <w:vAlign w:val="center"/>
          </w:tcPr>
          <w:p>
            <w:pPr>
              <w:jc w:val="center"/>
              <w:rPr>
                <w:rFonts w:hint="eastAsia" w:ascii="宋体" w:hAnsi="宋体" w:eastAsia="宋体" w:cs="宋体"/>
                <w:b/>
                <w:i w:val="0"/>
                <w:color w:val="000000"/>
                <w:sz w:val="28"/>
                <w:szCs w:val="28"/>
                <w:u w:val="none"/>
              </w:rPr>
            </w:pPr>
          </w:p>
        </w:tc>
        <w:tc>
          <w:tcPr>
            <w:tcW w:w="1016" w:type="dxa"/>
            <w:tcBorders>
              <w:top w:val="nil"/>
              <w:left w:val="nil"/>
              <w:bottom w:val="nil"/>
              <w:right w:val="nil"/>
            </w:tcBorders>
            <w:shd w:val="clear" w:color="auto" w:fill="FFFFFF"/>
            <w:noWrap/>
            <w:tcMar>
              <w:top w:w="12" w:type="dxa"/>
              <w:left w:w="12" w:type="dxa"/>
              <w:right w:w="12" w:type="dxa"/>
            </w:tcMar>
            <w:vAlign w:val="center"/>
          </w:tcPr>
          <w:p>
            <w:pPr>
              <w:jc w:val="center"/>
              <w:rPr>
                <w:rFonts w:hint="eastAsia" w:ascii="宋体" w:hAnsi="宋体" w:eastAsia="宋体" w:cs="宋体"/>
                <w:b/>
                <w:i w:val="0"/>
                <w:color w:val="000000"/>
                <w:sz w:val="28"/>
                <w:szCs w:val="28"/>
                <w:u w:val="none"/>
              </w:rPr>
            </w:pPr>
          </w:p>
        </w:tc>
        <w:tc>
          <w:tcPr>
            <w:tcW w:w="857" w:type="dxa"/>
            <w:tcBorders>
              <w:top w:val="nil"/>
              <w:left w:val="nil"/>
              <w:bottom w:val="nil"/>
              <w:right w:val="nil"/>
            </w:tcBorders>
            <w:shd w:val="clear" w:color="auto" w:fill="FFFFFF"/>
            <w:noWrap/>
            <w:tcMar>
              <w:top w:w="12" w:type="dxa"/>
              <w:left w:w="12" w:type="dxa"/>
              <w:right w:w="12" w:type="dxa"/>
            </w:tcMar>
            <w:vAlign w:val="center"/>
          </w:tcPr>
          <w:p>
            <w:pPr>
              <w:jc w:val="center"/>
              <w:rPr>
                <w:rFonts w:hint="eastAsia" w:ascii="宋体" w:hAnsi="宋体" w:eastAsia="宋体" w:cs="宋体"/>
                <w:b/>
                <w:i w:val="0"/>
                <w:color w:val="000000"/>
                <w:sz w:val="28"/>
                <w:szCs w:val="28"/>
                <w:u w:val="none"/>
              </w:rPr>
            </w:pPr>
          </w:p>
        </w:tc>
        <w:tc>
          <w:tcPr>
            <w:tcW w:w="913" w:type="dxa"/>
            <w:tcBorders>
              <w:top w:val="nil"/>
              <w:left w:val="nil"/>
              <w:bottom w:val="nil"/>
              <w:right w:val="nil"/>
            </w:tcBorders>
            <w:shd w:val="clear" w:color="auto" w:fill="FFFFFF"/>
            <w:noWrap/>
            <w:tcMar>
              <w:top w:w="12" w:type="dxa"/>
              <w:left w:w="12" w:type="dxa"/>
              <w:right w:w="12" w:type="dxa"/>
            </w:tcMar>
            <w:vAlign w:val="center"/>
          </w:tcPr>
          <w:p>
            <w:pPr>
              <w:jc w:val="center"/>
              <w:rPr>
                <w:rFonts w:hint="eastAsia" w:ascii="宋体" w:hAnsi="宋体" w:eastAsia="宋体" w:cs="宋体"/>
                <w:b/>
                <w:i w:val="0"/>
                <w:color w:val="000000"/>
                <w:sz w:val="28"/>
                <w:szCs w:val="28"/>
                <w:u w:val="none"/>
              </w:rPr>
            </w:pPr>
          </w:p>
        </w:tc>
        <w:tc>
          <w:tcPr>
            <w:tcW w:w="1840" w:type="dxa"/>
            <w:tcBorders>
              <w:top w:val="nil"/>
              <w:left w:val="nil"/>
              <w:bottom w:val="nil"/>
              <w:right w:val="nil"/>
            </w:tcBorders>
            <w:shd w:val="clear" w:color="auto" w:fill="FFFFFF"/>
            <w:noWrap/>
            <w:tcMar>
              <w:top w:w="12" w:type="dxa"/>
              <w:left w:w="12" w:type="dxa"/>
              <w:right w:w="12" w:type="dxa"/>
            </w:tcMar>
            <w:vAlign w:val="center"/>
          </w:tcPr>
          <w:p>
            <w:pPr>
              <w:jc w:val="center"/>
              <w:rPr>
                <w:rFonts w:hint="eastAsia" w:ascii="宋体" w:hAnsi="宋体" w:eastAsia="宋体" w:cs="宋体"/>
                <w:b/>
                <w:i w:val="0"/>
                <w:color w:val="000000"/>
                <w:sz w:val="28"/>
                <w:szCs w:val="28"/>
                <w:u w:val="none"/>
              </w:rPr>
            </w:pPr>
          </w:p>
        </w:tc>
        <w:tc>
          <w:tcPr>
            <w:tcW w:w="527" w:type="dxa"/>
            <w:tcBorders>
              <w:top w:val="nil"/>
              <w:left w:val="nil"/>
              <w:bottom w:val="nil"/>
              <w:right w:val="nil"/>
            </w:tcBorders>
            <w:shd w:val="clear" w:color="auto" w:fill="FFFFFF"/>
            <w:noWrap/>
            <w:tcMar>
              <w:top w:w="12" w:type="dxa"/>
              <w:left w:w="12" w:type="dxa"/>
              <w:right w:w="12" w:type="dxa"/>
            </w:tcMar>
            <w:vAlign w:val="center"/>
          </w:tcPr>
          <w:p>
            <w:pPr>
              <w:jc w:val="center"/>
              <w:rPr>
                <w:rFonts w:hint="eastAsia" w:ascii="宋体" w:hAnsi="宋体" w:eastAsia="宋体" w:cs="宋体"/>
                <w:b/>
                <w:i w:val="0"/>
                <w:color w:val="000000"/>
                <w:sz w:val="28"/>
                <w:szCs w:val="28"/>
                <w:u w:val="none"/>
              </w:rPr>
            </w:pPr>
          </w:p>
        </w:tc>
        <w:tc>
          <w:tcPr>
            <w:tcW w:w="1213" w:type="dxa"/>
            <w:gridSpan w:val="2"/>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金额：元</w:t>
            </w:r>
          </w:p>
        </w:tc>
      </w:tr>
      <w:tr>
        <w:tblPrEx>
          <w:tblCellMar>
            <w:top w:w="0" w:type="dxa"/>
            <w:left w:w="0" w:type="dxa"/>
            <w:bottom w:w="0" w:type="dxa"/>
            <w:right w:w="0" w:type="dxa"/>
          </w:tblCellMar>
        </w:tblPrEx>
        <w:trPr>
          <w:trHeight w:val="1392"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计算机编码</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项目编码</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财务</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项目</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财务编码</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病案项目</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病案编码</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项目名称</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项目内涵</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除外内容</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计价单位</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价格（三甲）</w:t>
            </w:r>
          </w:p>
        </w:tc>
        <w:tc>
          <w:tcPr>
            <w:tcW w:w="85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价格（三甲以下）</w:t>
            </w:r>
          </w:p>
        </w:tc>
        <w:tc>
          <w:tcPr>
            <w:tcW w:w="91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基层</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说明</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医保属性</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省本级先行自付比例</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医保限用范围</w:t>
            </w:r>
          </w:p>
        </w:tc>
      </w:tr>
      <w:tr>
        <w:tblPrEx>
          <w:tblCellMar>
            <w:top w:w="0" w:type="dxa"/>
            <w:left w:w="0" w:type="dxa"/>
            <w:bottom w:w="0" w:type="dxa"/>
            <w:right w:w="0" w:type="dxa"/>
          </w:tblCellMar>
        </w:tblPrEx>
        <w:trPr>
          <w:trHeight w:val="90"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633150504000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331505040</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手术费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手术治疗费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肩胛骨骨折切开复位内固定术</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指肩胛骨骨折的外科治疗。消毒铺巾，贴膜，切开皮肤，对骨折复位内固定，引流。缝合切口。</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内外固定材料</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2250.00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2025.00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1721.00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317"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631010003600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310100036</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治疗费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非手术治疗项目费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经皮穿刺电刺激镇痛术</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消毒，局麻下穿刺部位准确定位，穿刺后置入硬膜外刺激电极，反复调节电极位置至疼痛相应的脊髓节段或神经病变部位，连接导线进行术中刺激测试，观察镇痛范围和效果，直至刺激范围覆盖疼痛部位或是镇痛效果满意。短时程电刺激镇痛，固定电极连接导线引导至体外，逐层缝合，敷料固定。永久性电刺激镇痛，固定电极后同步体内置入脊髓神经刺激系统及套件，逐层缝合，敷料固定。不含影像学引导</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br w:type="textWrapping"/>
            </w:r>
            <w:r>
              <w:rPr>
                <w:rFonts w:hint="eastAsia" w:ascii="宋体" w:hAnsi="宋体" w:eastAsia="宋体" w:cs="宋体"/>
                <w:i w:val="0"/>
                <w:color w:val="FF0000"/>
                <w:kern w:val="0"/>
                <w:sz w:val="18"/>
                <w:szCs w:val="18"/>
                <w:u w:val="none"/>
                <w:lang w:val="en-US" w:eastAsia="zh-CN" w:bidi="ar"/>
              </w:rPr>
              <w:t>神经电极、植入式神经刺激系统及套件</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3150.00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2835.00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2410.00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限慢性顽固性疼痛及癌痛治疗收取。植入式神经刺激系统及套件限永久性电刺激镇痛收取。</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400"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633020402200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330204022</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手术费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手术治疗费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经皮穿刺胸椎背根神经节射频术</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监测生命体征，影像学引导确定穿刺点，消毒铺巾，影像学引导下进行胸椎穿刺，经影像及神经诱发确认无误，实施射频热凝或脉冲射频调节治疗。不含影像学引导。</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射频套管</w:t>
            </w:r>
          </w:p>
        </w:tc>
        <w:tc>
          <w:tcPr>
            <w:tcW w:w="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部位</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1350.00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1215.00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1033.00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限慢性顽固性疼痛治疗收取</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限带状疱疹患者支付</w:t>
            </w:r>
          </w:p>
        </w:tc>
      </w:tr>
      <w:tr>
        <w:tblPrEx>
          <w:tblCellMar>
            <w:top w:w="0" w:type="dxa"/>
            <w:left w:w="0" w:type="dxa"/>
            <w:bottom w:w="0" w:type="dxa"/>
            <w:right w:w="0" w:type="dxa"/>
          </w:tblCellMar>
        </w:tblPrEx>
        <w:trPr>
          <w:trHeight w:val="2719"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633020402300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330204023</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手术费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手术治疗费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经皮穿刺颈椎背根神经节射频术</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监测生命体征，影像学引导确定穿刺点，消毒铺巾，影像学引导下进行颈椎穿刺，经影像及神经诱发确认无误，实施射频热凝或脉冲射频调节治疗。不含影像学引导。</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射频套管</w:t>
            </w:r>
          </w:p>
        </w:tc>
        <w:tc>
          <w:tcPr>
            <w:tcW w:w="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部位</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1350.00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1215.00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1033.00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限慢性顽固性疼痛治疗收取</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限带状疱疹患者支付</w:t>
            </w:r>
          </w:p>
        </w:tc>
      </w:tr>
      <w:tr>
        <w:tblPrEx>
          <w:tblCellMar>
            <w:top w:w="0" w:type="dxa"/>
            <w:left w:w="0" w:type="dxa"/>
            <w:bottom w:w="0" w:type="dxa"/>
            <w:right w:w="0" w:type="dxa"/>
          </w:tblCellMar>
        </w:tblPrEx>
        <w:trPr>
          <w:trHeight w:val="2804"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633020402400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330204024</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手术费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手术治疗费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经皮穿刺腰椎背根神经节射频术</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监测生命体征，影像学引导确定穿刺点，消毒铺巾，影像学引导下进行腰椎穿刺，经影像及神经诱发确认无误，实施射频热凝或脉冲射频调节治疗。不含影像学引导。</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射频套管</w:t>
            </w:r>
            <w:r>
              <w:rPr>
                <w:rFonts w:hint="eastAsia" w:ascii="宋体" w:hAnsi="宋体" w:eastAsia="宋体" w:cs="宋体"/>
                <w:i w:val="0"/>
                <w:color w:val="000000"/>
                <w:kern w:val="0"/>
                <w:sz w:val="18"/>
                <w:szCs w:val="18"/>
                <w:u w:val="none"/>
                <w:lang w:val="en-US" w:eastAsia="zh-CN" w:bidi="ar"/>
              </w:rPr>
              <w:br w:type="textWrapping"/>
            </w:r>
          </w:p>
        </w:tc>
        <w:tc>
          <w:tcPr>
            <w:tcW w:w="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部位</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1350.00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1215.00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1033.00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限慢性顽固性疼痛治疗收取</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限带状疱疹患者支付</w:t>
            </w:r>
          </w:p>
        </w:tc>
      </w:tr>
      <w:tr>
        <w:tblPrEx>
          <w:tblCellMar>
            <w:top w:w="0" w:type="dxa"/>
            <w:left w:w="0" w:type="dxa"/>
            <w:bottom w:w="0" w:type="dxa"/>
            <w:right w:w="0" w:type="dxa"/>
          </w:tblCellMar>
        </w:tblPrEx>
        <w:trPr>
          <w:trHeight w:val="2535"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633020402500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330204025</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手术费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手术治疗费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脊髓电刺激电极取出术</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手术在具有无菌、抢救设备的手术室，消毒，局麻下原切口入路逐层暴露临时延长导线及电极，拆除电极固定装置，拔除完整电极，逐层缝合，敷料固定。不含影像学引导。</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900.00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810.00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689.00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88"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625020308100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250203081</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化验费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实验室诊断费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纤维蛋白单体测定</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样本类型：血液。样本采集、签收、处理，定标和质控，定量检测样本，审核结果，录入实验室信息系统或人工登记，发送报告；按规定处理废弃物；接受临床相关咨询。</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72.00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65.00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55.00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74"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625020308300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250203083</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化验费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实验室诊断费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纤溶酶-α2纤溶酶抑制剂复合体测定（PIC）</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样本类型：血液。样本采集、签收、处理，定标和质控，定量检测样本，审核结果，录入实验室信息系统或人工登记，发送报告；按规定处理废弃物；接受临床相关咨询。</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81.00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73.00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62.00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40"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625020308400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250203084</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化验费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实验室诊断费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血栓调节蛋白定量测定（TM）</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样本类型：血液。样本采集、签收、处理，定标和质控，定量检测样本，审核结果，录入实验室信息系统或人工登记，发送报告；按规定处理废弃物；接受临床相关咨询。</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81.00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73.00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62.00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20"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625020308500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250203085</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化验费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实验室诊断费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组织型纤溶酶原激活剂-抑制剂1复合体测定（tPAI-C)</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样本类型：血液。样本采集、签收、处理，定标和质控，定量检测样本，审核结果，录入实验室信息系统或人工登记，发送报告；按规定处理废弃物；接受临床相关咨询。</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81.00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73.00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62.00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47"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625020308600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250203086</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化验费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实验室诊断费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肝素结合蛋白测定</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样本类型：血液。样本采集、签收、分离血浆，加试剂，温育，检测，质控，审核结果，录入实验室信息系统或人工登记，发送报告；按规定处理废弃物；接受临床相关咨询。</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180.00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162.00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138.00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限住院重症患者支付</w:t>
            </w:r>
          </w:p>
        </w:tc>
      </w:tr>
      <w:tr>
        <w:tblPrEx>
          <w:tblCellMar>
            <w:top w:w="0" w:type="dxa"/>
            <w:left w:w="0" w:type="dxa"/>
            <w:bottom w:w="0" w:type="dxa"/>
            <w:right w:w="0" w:type="dxa"/>
          </w:tblCellMar>
        </w:tblPrEx>
        <w:trPr>
          <w:trHeight w:val="2460"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625030102600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250301026</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化验费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实验室诊断费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人类表皮生长因子受体2(HER-2/neu)测定</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样本类型：血液。样本采集、签收、处理，定标和质控，定量检测样本，审核结果，录入实验室信息系统或人工登记，发送报告；按规定处理废弃物；接受临床相关咨询。</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180.00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162.00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138.00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strike/>
                <w:color w:val="000000"/>
                <w:sz w:val="18"/>
                <w:szCs w:val="18"/>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0"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625030102700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250301027</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化验费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实验室诊断费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前列腺小体外泄蛋白（PSEP）测定</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样本类型：尿液。样本采集、签收、处理，加试剂，温育，定量测定，审核结果，录入实验室信息系统或人工登记，发送报告；按规定处理废弃物；接受临床相关咨询。</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72.00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65.00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55.00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28"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625040205300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250402053</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化验费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实验室诊断费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抗谷氨酸受体抗体测定</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样本类型：新鲜血液。样本采集、接收、检测、审核结果，录入实验室信息系统或人工登记，发送报告；按规定处理废弃物；接受临床相关咨询。</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180.00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162.00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138.00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限脑炎患者收取</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30"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625040205400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250402054</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化验费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实验室诊断费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抗神经抗原抗体测定</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含Amphiphysin、CV2、PNMA2(Ma2/Ta)、Ri、Yo与Hu抗体测定。样本类型：新鲜血液。样本采集、接收、检测、审核结果，录入实验室信息系统或人工登记，发送报告；按规定处理废弃物；接受临床相关咨询。</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225.00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203.00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172.00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685"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625040205500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250402055</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化验费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实验室诊断费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抗肌炎抗体测定</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含Mi-2,Ku,PM-Sc1,Jo-1,PL-7,PL-12,Ro-52等抗体测定。样本类型：新鲜血液。样本采集、接收、检测、审核结果，录入实验室信息系统或人工登记，发送报告；按规定处理废弃物；接受临床相关咨询。</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45.00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41.00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限肌炎的诊断治疗收取。超过7项按7项收取，最高不超过350元/次。</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995"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625040205600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250402056</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化验费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实验室诊断费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抗磷脂酶A2受体（PLA2R)抗体测定</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样本类型：新鲜血液。样本采集、接收、检测、审核结果，录入实验室信息系统或人工登记，发送报告；按规定处理废弃物；接受临床相关咨询。</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135.00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122.00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103.00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512"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625030102900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250301029</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化验费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实验室诊断费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尿核基质蛋白（NMP22)测定</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样本类型：尿液。样本采集、签收、检测，分析、判断并审核检测结果，录入实验室信息系统或人工登记，发送报告；按规定处理废弃物；接受临床相关咨询。</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54.00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59.00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41.00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限膀胱癌治疗收取</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625031006400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250310064</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化验费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实验室诊断费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血清PIGF胎盘生长因子测定</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样本类型：血液。样本采集、签收、处理，定标和质控，检测样本，审核结果，录入实验室信息系统或人工登记，发送报告；按规定处理废弃物；接受临床相关咨询。</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180.00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162.00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138.00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限12周-35周的孕妇测定收取</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015"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625031006500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250310065</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化验费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实验室诊断费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抑制素B测定</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样本类型：血液。样本采集、签收、处理，定标和质控，检测样本，审核结果，录入实验室信息系统或人工登记，发送报告；按规定处理废弃物；接受临床相关咨询。</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108.00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97.00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83.00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445"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625030801700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250308017</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化验费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实验室诊断费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可溶性FMS样酪氨酸激酶-1测定</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样本类型：血液。样本采集、签收、处理，定标和质控，检测样本，审核结果，录入实验室信息系统或人工登记，发送报告；按规定处理废弃物；接受临床相关咨询。</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180.00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162.00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138.00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限妊高症收取</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15"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625050201100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250502011</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化验费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实验室诊断费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结核分枝杆菌及利福平耐药快速测定</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样本类型：痰液、痰沉淀、肺泡灌洗液、脑脊液、淋巴结等各种标本。含样本采集、签收、处理(据标本类型不同进行相应的前处理)。判断并审核结果，录入实验室信息系统或人工登记，发送报告；按规定处理废弃物；接受临床相关咨询。</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360.00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324.00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275.00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限疑似结核感染患者收取</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205"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625050104500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250501045</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化验费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实验室诊断费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艰难梭菌核酸测定</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样本类型：不成形粪便。样本采集，样本签收，标本预处理。判断并审核结果，录入实验室信息系统或人工登记，发送报告；按规定处理废弃物；接受临床相关咨询。</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360.00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324.00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275.00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限临床严重腹泻收取</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45"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625070002100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250700021</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化验费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实验室诊断费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Septin9基因甲基化测定</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样本类型：血液。样本采集、签收、预处理，提取模板DNA，进行DNA甲基化处理，与阴、阳性对照同时检测，分析、判断并审核检测结果，录入实验室信息系统或人工登记，发送报告；按规定处理废弃物；接受临床相关咨询。</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630.00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567.00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482.00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限疑似结直肠癌患者支付</w:t>
            </w:r>
          </w:p>
        </w:tc>
      </w:tr>
      <w:tr>
        <w:tblPrEx>
          <w:tblCellMar>
            <w:top w:w="0" w:type="dxa"/>
            <w:left w:w="0" w:type="dxa"/>
            <w:bottom w:w="0" w:type="dxa"/>
            <w:right w:w="0" w:type="dxa"/>
          </w:tblCellMar>
        </w:tblPrEx>
        <w:trPr>
          <w:trHeight w:val="2955"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625070002200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250700022</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化验费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实验室诊断费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人类精子DNA完整性测定</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测人类精子DNA完整性，计数至少5000个以上精子且重复计数2次。样本类型：精液。样本采集,细胞制备和染色，检测，计算结果，录入实验室信息系统或人工登记，发送报告；按规定处理废弃物；接受临床相关咨询。</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342.00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308.00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262.00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限不育患者收取</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145"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1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033010001500</w:t>
            </w: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330100015</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手术费</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手术治疗费</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麻醉中监测</w:t>
            </w:r>
          </w:p>
        </w:tc>
        <w:tc>
          <w:tcPr>
            <w:tcW w:w="1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含心电图、脉搏氧饱和度、心率变异分析、ST段分析、无创血压、呼气末二氧化碳、氧浓度、呼吸频率、潮气量、分钟通气量、气道压、肺顺应性、体温、肌松</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胃粘膜PH电极</w:t>
            </w:r>
          </w:p>
        </w:tc>
        <w:tc>
          <w:tcPr>
            <w:tcW w:w="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小时</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12.00 </w:t>
            </w:r>
          </w:p>
        </w:tc>
        <w:tc>
          <w:tcPr>
            <w:tcW w:w="1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有创血压、中心静脉压、呼气末麻醉药浓度、脑电双谱指数、胃粘膜PH监测每小时三甲医院分别收10元，三甲以下医院分别收9元。监测项目超过6项按6项收取，最高不超过60元/小时。</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230"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1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633010001509</w:t>
            </w: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33010001509</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手术费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手术治疗费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麻醉深度电生理监测</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连接电极或传感器，根据脑电图，诱发电位等图形数据的变化调节麻醉深度。</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每小时</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限全麻患者监测收取</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201"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631150100600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311501006</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临床诊断项目费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老年性痴呆认知分量表评定</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按照《中国痴呆和认知障碍指南（2015版）》对阿尔茨海默病患者认知功能评估</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限阿尔茨海默病收取</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35"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627080000900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270800009</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病理诊断费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ALK蛋白伴随诊断</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样本类型：组织标本。样本采集、签收、处理，经取材、固定、脱水、包埋、制片、烤片、脱蜡、染色等步骤，图像分析，判断并审核结果，录入实验室信息系统或人工登记，发送报告；按规定处理废弃物；接受临床相关咨询。</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576.00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518.00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441.00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180"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633010002300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330100023</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手术费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手术治疗费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术中神经电生理监测</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局部消毒，帮助复杂甲状腺手术中喉返神经及喉上神经的定位及功能保护。</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小时</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45.00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41.00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限以下病人使用：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（1）甲状腺肿物位于腺体背侧， 可疑近期囊内出血或甲状腺癌者；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（2）甲状腺功能亢进病人， 术前超声提示腺体大且内部血供丰富者；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（3）甲状腺恶性肿瘤需行颈部淋巴结清扫，尤其有中央组淋巴结肿大者；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（4）甲状腺再次手术， 解剖结构紊乱， 组织粘连重者；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（5）胸骨后甲状腺肿， 巨大甲状腺肿物， 考虑喉返神经有移位者；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（6）术前影像学提示有内脏转位或锁骨下动脉变异， 可疑非返性喉返神经者；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（7）已有单侧声带麻痹，对侧叶需行手术治疗者；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（8）需行甲状腺全切除术，特别是腔镜下手术；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（9）喉返神经损伤后的修复手术；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（10）甲状旁腺手术；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（11）对音质、音调有特殊要求者，要求术中应用IONM的病人。</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560"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631060501600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310605016</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治疗费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非手术治疗项目费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经皮纵膈穿刺术</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经皮穿刺纵膈活检、脓肿引流。不含影像学引导。</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180.00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162.00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138.00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420"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632060001200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320600012</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手术费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手术治疗费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经皮穿刺脑血管腔内取栓术</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SA持续射线透视下，经股动脉穿刺置入动脉鞘管，在导丝引导下将造影导管分别置于颈动脉、椎动脉造影明确闭塞血管具体部位。采用交换技术将中间导管送至目标血管内，经中间导管将微导管在微导丝引导下缓慢通过血管闭塞处并置于闭塞血管远端。撤出微导丝，微导管内造影定位在血管真腔后，经微导管将取栓支架定位于血管闭塞处释放，再次造影确认支架释放后血管闭塞处情况。然后回拉支架取栓，将血管内血栓经中间导管取出体外。</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4212.00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3791.00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3222.00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933"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631090502800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310905028</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治疗费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非手术治疗项目费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双重腹水超滤浓缩腹腔回输</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腹腔穿刺术，放腹水，腹水超滤，弃除含水废液，腹水浓缩，腹水细胞分离，弃除细胞有型成分废液，旁路腹水经双重腹水超滤浓缩腹水回输装置腹腔回输。</w:t>
            </w:r>
            <w:r>
              <w:rPr>
                <w:rStyle w:val="12"/>
                <w:lang w:val="en-US" w:eastAsia="zh-CN" w:bidi="ar"/>
              </w:rPr>
              <w:t>含滤器、管路、穿刺包等。</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2700.00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2430.00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2066.00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限肝硬化及癌性难治性腹水收取</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62"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631051102800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310511028</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治疗费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非手术治疗项目费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牙髓血管再生术</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髓，髓腔预备，髓腔修整，暴露根管口，根管清理，使用三联抗生素糊剂等药物进行根管消毒后，局麻下用无菌锉刺激根尖区出血充盈根管形成血凝块或采用自体静脉血（PRF）,利用MTA和复合树脂严密封闭冠部。</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每根管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2250.00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2025.00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1721.00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限年轻恒牙根尖周病的治疗收取</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60"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633060404400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330604044</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手术费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手术治疗费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微创骨融合牙拔除术</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通过使用特殊硬组织切割工具、特殊牙挺、特殊照明工具等，对患牙多次切割分块，少量外周增隙，逐步挺松患牙，最终完整拔除骨融合牙。</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每牙</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720.00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648.00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551.00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限患牙出现感染且通过其他治疗无法控制者；正畸治疗中患牙无法移动者收取</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限患牙出现感染且通过其他治疗无法控制者支付</w:t>
            </w:r>
          </w:p>
        </w:tc>
      </w:tr>
      <w:tr>
        <w:tblPrEx>
          <w:tblCellMar>
            <w:top w:w="0" w:type="dxa"/>
            <w:left w:w="0" w:type="dxa"/>
            <w:bottom w:w="0" w:type="dxa"/>
            <w:right w:w="0" w:type="dxa"/>
          </w:tblCellMar>
        </w:tblPrEx>
        <w:trPr>
          <w:trHeight w:val="1860"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631110002100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311100021</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治疗费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非手术治疗项目费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勃起功能障碍（ED）低能量冲击波治疗技术</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清洁外阴，启动并设置治疗仪器，将治疗仪覆盖阴茎及阴囊，做冲击治疗。每次治疗持续时间约30分钟。</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1800.00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1620.00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1377.00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限三级医疗机构男科使用收取</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415"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631060501700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310605017</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治疗费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非手术治疗项目费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经内镜支气管热成形术</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支气管热成形导管连接仪器通过支气管镜进入肺支气管,常规支气管镜检查全部气道情况,制定激活顺序,治疗区域全部激活完毕后,再次检查气道,清除分泌物,操作结束。</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导管</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1800.00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1620.00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1377.00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限18岁及以上经用吸入性糖皮质激素及长效β受体激动剂无法有效控制的重度持续性哮喘收取</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40"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631020800300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310208003</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临床诊断项目费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踝肱指数</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在安静环境下进行。受试者安静平卧10分钟后，测量踝部胫后动脉或胫前动脉以及肱动脉的收缩压，得到踝部动脉压与肱动脉压之间的比值。医生分析结果，并出具报告单。</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15.30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限住院糖尿病收取</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参保患者同一医院每年限支付一次</w:t>
            </w:r>
          </w:p>
        </w:tc>
      </w:tr>
      <w:tr>
        <w:tblPrEx>
          <w:tblCellMar>
            <w:top w:w="0" w:type="dxa"/>
            <w:left w:w="0" w:type="dxa"/>
            <w:bottom w:w="0" w:type="dxa"/>
            <w:right w:w="0" w:type="dxa"/>
          </w:tblCellMar>
        </w:tblPrEx>
        <w:trPr>
          <w:trHeight w:val="1296" w:hRule="atLeast"/>
        </w:trPr>
        <w:tc>
          <w:tcPr>
            <w:tcW w:w="3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624020000400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240200004</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治疗费</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非手术治疗项目费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CT模拟机校位</w:t>
            </w:r>
          </w:p>
        </w:tc>
        <w:tc>
          <w:tcPr>
            <w:tcW w:w="19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摆位及体位固定，将中心移至治疗中心并标记，必要时静脉输注对比剂，机器操作，CT影像获取及比较，校正治疗中心并标记。</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315.00 </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284.00 </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241.00 </w:t>
            </w:r>
          </w:p>
        </w:tc>
        <w:tc>
          <w:tcPr>
            <w:tcW w:w="1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w:t>
            </w:r>
          </w:p>
        </w:tc>
        <w:tc>
          <w:tcPr>
            <w:tcW w:w="6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bl>
    <w:p>
      <w:pPr>
        <w:widowControl/>
        <w:spacing w:line="540" w:lineRule="exact"/>
        <w:jc w:val="both"/>
        <w:rPr>
          <w:rFonts w:hint="eastAsia" w:ascii="黑体" w:hAnsi="黑体" w:eastAsia="黑体" w:cs="黑体"/>
          <w:sz w:val="32"/>
          <w:szCs w:val="32"/>
          <w:lang w:val="en-US" w:eastAsia="zh-CN"/>
        </w:rPr>
      </w:pPr>
    </w:p>
    <w:p>
      <w:pPr>
        <w:widowControl/>
        <w:spacing w:line="540" w:lineRule="exact"/>
        <w:jc w:val="both"/>
        <w:rPr>
          <w:rFonts w:hint="eastAsia" w:ascii="黑体" w:hAnsi="黑体" w:eastAsia="黑体" w:cs="黑体"/>
          <w:sz w:val="32"/>
          <w:szCs w:val="32"/>
          <w:lang w:val="en-US" w:eastAsia="zh-CN"/>
        </w:rPr>
        <w:sectPr>
          <w:headerReference r:id="rId3" w:type="default"/>
          <w:footerReference r:id="rId5" w:type="default"/>
          <w:headerReference r:id="rId4" w:type="even"/>
          <w:footerReference r:id="rId6" w:type="even"/>
          <w:pgSz w:w="16838" w:h="11906" w:orient="landscape"/>
          <w:pgMar w:top="1247" w:right="1474" w:bottom="1134" w:left="1587" w:header="708" w:footer="708" w:gutter="0"/>
          <w:pgNumType w:fmt="numberInDash"/>
          <w:docGrid w:type="lines" w:linePitch="360" w:charSpace="0"/>
        </w:sectPr>
      </w:pPr>
    </w:p>
    <w:tbl>
      <w:tblPr>
        <w:tblStyle w:val="7"/>
        <w:tblW w:w="14640" w:type="dxa"/>
        <w:tblInd w:w="0" w:type="dxa"/>
        <w:shd w:val="clear" w:color="auto" w:fill="auto"/>
        <w:tblLayout w:type="autofit"/>
        <w:tblCellMar>
          <w:top w:w="0" w:type="dxa"/>
          <w:left w:w="0" w:type="dxa"/>
          <w:bottom w:w="0" w:type="dxa"/>
          <w:right w:w="0" w:type="dxa"/>
        </w:tblCellMar>
      </w:tblPr>
      <w:tblGrid>
        <w:gridCol w:w="1107"/>
        <w:gridCol w:w="1634"/>
        <w:gridCol w:w="2687"/>
        <w:gridCol w:w="2664"/>
        <w:gridCol w:w="1539"/>
        <w:gridCol w:w="2471"/>
        <w:gridCol w:w="1337"/>
        <w:gridCol w:w="1485"/>
      </w:tblGrid>
      <w:tr>
        <w:tblPrEx>
          <w:shd w:val="clear" w:color="auto" w:fill="auto"/>
          <w:tblCellMar>
            <w:top w:w="0" w:type="dxa"/>
            <w:left w:w="0" w:type="dxa"/>
            <w:bottom w:w="0" w:type="dxa"/>
            <w:right w:w="0" w:type="dxa"/>
          </w:tblCellMar>
        </w:tblPrEx>
        <w:trPr>
          <w:trHeight w:val="312" w:hRule="atLeast"/>
        </w:trPr>
        <w:tc>
          <w:tcPr>
            <w:tcW w:w="1107"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黑体" w:eastAsia="黑体" w:cs="黑体"/>
                <w:i w:val="0"/>
                <w:color w:val="000000"/>
                <w:kern w:val="0"/>
                <w:sz w:val="32"/>
                <w:szCs w:val="32"/>
                <w:u w:val="none"/>
                <w:lang w:val="en-US" w:eastAsia="zh-CN" w:bidi="ar"/>
              </w:rPr>
              <w:t>附件2</w:t>
            </w:r>
          </w:p>
        </w:tc>
        <w:tc>
          <w:tcPr>
            <w:tcW w:w="163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68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390"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539"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471"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33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485"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22" w:hRule="atLeast"/>
        </w:trPr>
        <w:tc>
          <w:tcPr>
            <w:tcW w:w="0" w:type="auto"/>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除外内容修订编码表</w:t>
            </w:r>
          </w:p>
        </w:tc>
      </w:tr>
      <w:tr>
        <w:tblPrEx>
          <w:tblCellMar>
            <w:top w:w="0" w:type="dxa"/>
            <w:left w:w="0" w:type="dxa"/>
            <w:bottom w:w="0" w:type="dxa"/>
            <w:right w:w="0"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项目编码</w:t>
            </w:r>
          </w:p>
        </w:tc>
        <w:tc>
          <w:tcPr>
            <w:tcW w:w="26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项目名称</w:t>
            </w:r>
          </w:p>
        </w:tc>
        <w:tc>
          <w:tcPr>
            <w:tcW w:w="23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除外耗材</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除外耗材编码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除外耗材计算机编码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医保属性</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省本级先行自付比例</w:t>
            </w:r>
          </w:p>
        </w:tc>
      </w:tr>
      <w:tr>
        <w:tblPrEx>
          <w:tblCellMar>
            <w:top w:w="0" w:type="dxa"/>
            <w:left w:w="0" w:type="dxa"/>
            <w:bottom w:w="0" w:type="dxa"/>
            <w:right w:w="0" w:type="dxa"/>
          </w:tblCellMar>
        </w:tblPrEx>
        <w:trPr>
          <w:trHeight w:val="57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6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310100036</w:t>
            </w:r>
          </w:p>
        </w:tc>
        <w:tc>
          <w:tcPr>
            <w:tcW w:w="26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经皮穿刺电刺激镇痛术</w:t>
            </w:r>
          </w:p>
        </w:tc>
        <w:tc>
          <w:tcPr>
            <w:tcW w:w="23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神经电极</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960112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960112000000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5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6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FF0000"/>
                <w:sz w:val="24"/>
                <w:szCs w:val="24"/>
                <w:u w:val="none"/>
              </w:rPr>
            </w:pPr>
          </w:p>
        </w:tc>
        <w:tc>
          <w:tcPr>
            <w:tcW w:w="2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FF0000"/>
                <w:sz w:val="24"/>
                <w:szCs w:val="24"/>
                <w:u w:val="none"/>
              </w:rPr>
            </w:pPr>
          </w:p>
        </w:tc>
        <w:tc>
          <w:tcPr>
            <w:tcW w:w="23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植入式神经刺激系统及套件</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960113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960113000000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一次性输液器（含泵用）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950029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950029000000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r>
    </w:tbl>
    <w:p>
      <w:pPr>
        <w:widowControl/>
        <w:spacing w:line="560" w:lineRule="exact"/>
        <w:jc w:val="both"/>
        <w:rPr>
          <w:rFonts w:hint="eastAsia" w:ascii="仿宋_GB2312" w:hAnsi="仿宋_GB2312" w:eastAsia="仿宋_GB2312" w:cs="仿宋_GB2312"/>
          <w:sz w:val="32"/>
          <w:szCs w:val="32"/>
        </w:rPr>
        <w:sectPr>
          <w:pgSz w:w="16838" w:h="11906" w:orient="landscape"/>
          <w:pgMar w:top="1587" w:right="1304" w:bottom="1474" w:left="1134" w:header="708" w:footer="708" w:gutter="0"/>
          <w:pgNumType w:fmt="numberInDash"/>
          <w:docGrid w:type="lines" w:linePitch="360" w:charSpace="0"/>
        </w:sectPr>
      </w:pPr>
      <w:bookmarkStart w:id="0" w:name="_GoBack"/>
      <w:bookmarkEnd w:id="0"/>
    </w:p>
    <w:p>
      <w:pPr>
        <w:widowControl/>
        <w:spacing w:line="560" w:lineRule="exact"/>
        <w:jc w:val="both"/>
        <w:rPr>
          <w:rFonts w:hint="eastAsia" w:ascii="仿宋_GB2312" w:hAnsi="仿宋_GB2312" w:eastAsia="仿宋_GB2312" w:cs="仿宋_GB2312"/>
          <w:sz w:val="32"/>
          <w:szCs w:val="32"/>
        </w:rPr>
      </w:pPr>
    </w:p>
    <w:p>
      <w:pPr>
        <w:widowControl/>
        <w:spacing w:line="560" w:lineRule="exact"/>
        <w:jc w:val="both"/>
        <w:rPr>
          <w:rFonts w:hint="eastAsia" w:ascii="仿宋_GB2312" w:hAnsi="仿宋_GB2312" w:eastAsia="仿宋_GB2312" w:cs="仿宋_GB2312"/>
          <w:sz w:val="32"/>
          <w:szCs w:val="32"/>
        </w:rPr>
      </w:pPr>
    </w:p>
    <w:p>
      <w:pPr>
        <w:widowControl/>
        <w:spacing w:line="560" w:lineRule="exact"/>
        <w:jc w:val="both"/>
        <w:rPr>
          <w:rFonts w:hint="eastAsia" w:ascii="仿宋_GB2312" w:hAnsi="仿宋_GB2312" w:eastAsia="仿宋_GB2312" w:cs="仿宋_GB2312"/>
          <w:sz w:val="32"/>
          <w:szCs w:val="32"/>
        </w:rPr>
      </w:pPr>
    </w:p>
    <w:p>
      <w:pPr>
        <w:widowControl/>
        <w:spacing w:line="560" w:lineRule="exact"/>
        <w:jc w:val="both"/>
        <w:rPr>
          <w:rFonts w:hint="eastAsia" w:ascii="仿宋_GB2312" w:hAnsi="仿宋_GB2312" w:eastAsia="仿宋_GB2312" w:cs="仿宋_GB2312"/>
          <w:sz w:val="32"/>
          <w:szCs w:val="32"/>
        </w:rPr>
      </w:pPr>
    </w:p>
    <w:p>
      <w:pPr>
        <w:widowControl/>
        <w:spacing w:line="560" w:lineRule="exact"/>
        <w:jc w:val="both"/>
        <w:rPr>
          <w:rFonts w:hint="eastAsia" w:ascii="仿宋_GB2312" w:hAnsi="仿宋_GB2312" w:eastAsia="仿宋_GB2312" w:cs="仿宋_GB2312"/>
          <w:sz w:val="32"/>
          <w:szCs w:val="32"/>
        </w:rPr>
      </w:pPr>
    </w:p>
    <w:p>
      <w:pPr>
        <w:widowControl/>
        <w:spacing w:line="560" w:lineRule="exact"/>
        <w:jc w:val="both"/>
        <w:rPr>
          <w:rFonts w:hint="eastAsia" w:ascii="仿宋_GB2312" w:hAnsi="仿宋_GB2312" w:eastAsia="仿宋_GB2312" w:cs="仿宋_GB2312"/>
          <w:sz w:val="32"/>
          <w:szCs w:val="32"/>
        </w:rPr>
      </w:pPr>
    </w:p>
    <w:p>
      <w:pPr>
        <w:widowControl/>
        <w:spacing w:line="560" w:lineRule="exact"/>
        <w:jc w:val="both"/>
        <w:rPr>
          <w:rFonts w:hint="eastAsia" w:ascii="仿宋_GB2312" w:hAnsi="仿宋_GB2312" w:eastAsia="仿宋_GB2312" w:cs="仿宋_GB2312"/>
          <w:sz w:val="32"/>
          <w:szCs w:val="32"/>
        </w:rPr>
      </w:pPr>
    </w:p>
    <w:p>
      <w:pPr>
        <w:widowControl/>
        <w:spacing w:line="560" w:lineRule="exact"/>
        <w:jc w:val="both"/>
        <w:rPr>
          <w:rFonts w:hint="eastAsia" w:ascii="仿宋_GB2312" w:hAnsi="仿宋_GB2312" w:eastAsia="仿宋_GB2312" w:cs="仿宋_GB2312"/>
          <w:sz w:val="32"/>
          <w:szCs w:val="32"/>
        </w:rPr>
      </w:pPr>
    </w:p>
    <w:p>
      <w:pPr>
        <w:widowControl/>
        <w:spacing w:line="560" w:lineRule="exact"/>
        <w:jc w:val="both"/>
        <w:rPr>
          <w:rFonts w:hint="eastAsia" w:ascii="仿宋_GB2312" w:hAnsi="仿宋_GB2312" w:eastAsia="仿宋_GB2312" w:cs="仿宋_GB2312"/>
          <w:sz w:val="32"/>
          <w:szCs w:val="32"/>
        </w:rPr>
      </w:pPr>
    </w:p>
    <w:p>
      <w:pPr>
        <w:widowControl/>
        <w:spacing w:line="560" w:lineRule="exact"/>
        <w:jc w:val="both"/>
        <w:rPr>
          <w:rFonts w:hint="eastAsia" w:ascii="仿宋_GB2312" w:hAnsi="仿宋_GB2312" w:eastAsia="仿宋_GB2312" w:cs="仿宋_GB2312"/>
          <w:sz w:val="32"/>
          <w:szCs w:val="32"/>
        </w:rPr>
      </w:pPr>
    </w:p>
    <w:p>
      <w:pPr>
        <w:widowControl/>
        <w:spacing w:line="560" w:lineRule="exact"/>
        <w:jc w:val="both"/>
        <w:rPr>
          <w:rFonts w:hint="eastAsia" w:ascii="仿宋_GB2312" w:hAnsi="仿宋_GB2312" w:eastAsia="仿宋_GB2312" w:cs="仿宋_GB2312"/>
          <w:sz w:val="32"/>
          <w:szCs w:val="32"/>
        </w:rPr>
      </w:pPr>
    </w:p>
    <w:p>
      <w:pPr>
        <w:widowControl/>
        <w:spacing w:line="560" w:lineRule="exact"/>
        <w:jc w:val="both"/>
        <w:rPr>
          <w:rFonts w:hint="eastAsia" w:ascii="仿宋_GB2312" w:hAnsi="仿宋_GB2312" w:eastAsia="仿宋_GB2312" w:cs="仿宋_GB2312"/>
          <w:sz w:val="32"/>
          <w:szCs w:val="32"/>
        </w:rPr>
      </w:pPr>
    </w:p>
    <w:p>
      <w:pPr>
        <w:spacing w:line="580" w:lineRule="exact"/>
        <w:jc w:val="both"/>
        <w:rPr>
          <w:rFonts w:hint="eastAsia" w:ascii="仿宋_GB2312" w:hAnsi="仿宋_GB2312" w:eastAsia="仿宋_GB2312" w:cs="仿宋_GB2312"/>
          <w:sz w:val="28"/>
          <w:szCs w:val="28"/>
          <w:lang w:eastAsia="zh-CN"/>
        </w:rPr>
      </w:pPr>
      <w:r>
        <w:rPr>
          <w:rFonts w:hint="eastAsia" w:ascii="宋体" w:hAnsi="宋体" w:cs="宋体"/>
          <w:kern w:val="0"/>
          <w:sz w:val="28"/>
          <w:szCs w:val="28"/>
          <w:lang w:val="en-US" w:eastAsia="zh-CN"/>
        </w:rPr>
        <w:t xml:space="preserve">     </w:t>
      </w:r>
    </w:p>
    <w:p>
      <w:pPr>
        <w:spacing w:line="580" w:lineRule="exact"/>
        <w:jc w:val="both"/>
        <w:rPr>
          <w:rFonts w:hint="eastAsia" w:ascii="仿宋_GB2312" w:hAnsi="仿宋_GB2312" w:eastAsia="仿宋_GB2312" w:cs="仿宋_GB2312"/>
          <w:sz w:val="28"/>
          <w:szCs w:val="28"/>
          <w:lang w:eastAsia="zh-CN"/>
        </w:rPr>
      </w:pPr>
    </w:p>
    <w:sectPr>
      <w:footerReference r:id="rId7" w:type="default"/>
      <w:footerReference r:id="rId8" w:type="even"/>
      <w:pgSz w:w="11906" w:h="16838"/>
      <w:pgMar w:top="1304" w:right="1474" w:bottom="1134" w:left="1587" w:header="708" w:footer="708" w:gutter="0"/>
      <w:pgNumType w:fmt="numberInDash"/>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evenAndOddHeaders w:val="1"/>
  <w:drawingGridHorizontalSpacing w:val="105"/>
  <w:drawingGridVerticalSpacing w:val="156"/>
  <w:displayHorizontalDrawingGridEvery w:val="1"/>
  <w:displayVerticalDrawingGridEvery w:val="1"/>
  <w:noPunctuationKerning w:val="1"/>
  <w:noLineBreaksAfter w:lang="zh-CN" w:val="$([{£¥·‘“〈《「『【〔〖〝﹙﹛﹝＄（．［｛￡￥"/>
  <w:noLineBreaksBefore w:lang="zh-CN" w:val="!%),.:;&gt;?]}¢¨°·ˇˉ―‖’”…‰′″›℃∶、。〃〉》」』】〕〗〞︶︺︾﹀﹄﹚﹜﹞！＂％＇），．：；？］｀｜｝～￠"/>
  <w:compat>
    <w:spaceForUL/>
    <w:doNotExpandShiftReturn/>
    <w:doNotWrapTextWithPunct/>
    <w:doNotUseEastAsianBreakRules/>
    <w:growAutofit/>
    <w:useFELayout/>
    <w:doNotUseIndentAsNumberingTabStop/>
    <w:useAltKinsokuLineBreakRules/>
    <w:splitPgBreakAndParaMark/>
    <w:compatSetting w:name="compatibilityMode" w:uri="http://schemas.microsoft.com/office/word" w:val="14"/>
  </w:compat>
  <w:rsids>
    <w:rsidRoot w:val="00000000"/>
    <w:rsid w:val="014349A1"/>
    <w:rsid w:val="01EF5E81"/>
    <w:rsid w:val="05AF60F9"/>
    <w:rsid w:val="06F45295"/>
    <w:rsid w:val="09767E9D"/>
    <w:rsid w:val="0E340987"/>
    <w:rsid w:val="0E845D1D"/>
    <w:rsid w:val="0E8F0474"/>
    <w:rsid w:val="0F1C797F"/>
    <w:rsid w:val="12180C68"/>
    <w:rsid w:val="1404025B"/>
    <w:rsid w:val="146B0F5F"/>
    <w:rsid w:val="1475676F"/>
    <w:rsid w:val="149F53B5"/>
    <w:rsid w:val="17DD649E"/>
    <w:rsid w:val="19A454BF"/>
    <w:rsid w:val="1A270180"/>
    <w:rsid w:val="1AA267DF"/>
    <w:rsid w:val="1B093CF6"/>
    <w:rsid w:val="1C7608A4"/>
    <w:rsid w:val="1CC531B7"/>
    <w:rsid w:val="1E46205D"/>
    <w:rsid w:val="1E975A98"/>
    <w:rsid w:val="1F197F43"/>
    <w:rsid w:val="23926B42"/>
    <w:rsid w:val="262C0808"/>
    <w:rsid w:val="291F6F7A"/>
    <w:rsid w:val="2C4968D2"/>
    <w:rsid w:val="2FFE35FA"/>
    <w:rsid w:val="33DD1E29"/>
    <w:rsid w:val="352D64D0"/>
    <w:rsid w:val="37075D41"/>
    <w:rsid w:val="377E2E70"/>
    <w:rsid w:val="37807ACE"/>
    <w:rsid w:val="3A321B89"/>
    <w:rsid w:val="3A4C7502"/>
    <w:rsid w:val="3A8E2A6A"/>
    <w:rsid w:val="3F2A1A9C"/>
    <w:rsid w:val="41381917"/>
    <w:rsid w:val="41690E9E"/>
    <w:rsid w:val="44252693"/>
    <w:rsid w:val="449E43A4"/>
    <w:rsid w:val="45C61C67"/>
    <w:rsid w:val="46806010"/>
    <w:rsid w:val="474B0D70"/>
    <w:rsid w:val="48CE2729"/>
    <w:rsid w:val="4A727BAC"/>
    <w:rsid w:val="4A7B1A54"/>
    <w:rsid w:val="4C0D374E"/>
    <w:rsid w:val="4EDD5B85"/>
    <w:rsid w:val="4F744697"/>
    <w:rsid w:val="50425511"/>
    <w:rsid w:val="50763B2A"/>
    <w:rsid w:val="52E36BAB"/>
    <w:rsid w:val="56692B5B"/>
    <w:rsid w:val="56880831"/>
    <w:rsid w:val="57101D6C"/>
    <w:rsid w:val="5744058A"/>
    <w:rsid w:val="57D30475"/>
    <w:rsid w:val="5A94530D"/>
    <w:rsid w:val="5D887E09"/>
    <w:rsid w:val="5EF10AAF"/>
    <w:rsid w:val="60336352"/>
    <w:rsid w:val="6080313C"/>
    <w:rsid w:val="63424C46"/>
    <w:rsid w:val="64953E0B"/>
    <w:rsid w:val="67431112"/>
    <w:rsid w:val="67CA6E5C"/>
    <w:rsid w:val="69915A5E"/>
    <w:rsid w:val="6A145305"/>
    <w:rsid w:val="6AE543BE"/>
    <w:rsid w:val="6C58341D"/>
    <w:rsid w:val="711551EF"/>
    <w:rsid w:val="717568F5"/>
    <w:rsid w:val="7492450F"/>
    <w:rsid w:val="775372DF"/>
    <w:rsid w:val="79A35D7A"/>
    <w:rsid w:val="7A2533FD"/>
    <w:rsid w:val="7B441B71"/>
    <w:rsid w:val="7E357E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kern w:val="0"/>
      <w:szCs w:val="21"/>
    </w:rPr>
  </w:style>
  <w:style w:type="paragraph" w:styleId="3">
    <w:name w:val="Date"/>
    <w:basedOn w:val="1"/>
    <w:next w:val="1"/>
    <w:qFormat/>
    <w:uiPriority w:val="0"/>
    <w:pPr>
      <w:ind w:left="2500" w:leftChars="2500"/>
    </w:pPr>
  </w:style>
  <w:style w:type="paragraph" w:styleId="4">
    <w:name w:val="Balloon Text"/>
    <w:basedOn w:val="1"/>
    <w:qFormat/>
    <w:uiPriority w:val="0"/>
    <w:rPr>
      <w:sz w:val="18"/>
      <w:szCs w:val="18"/>
    </w:rPr>
  </w:style>
  <w:style w:type="paragraph" w:styleId="5">
    <w:name w:val="footer"/>
    <w:basedOn w:val="1"/>
    <w:qFormat/>
    <w:uiPriority w:val="0"/>
    <w:pPr>
      <w:widowControl/>
      <w:tabs>
        <w:tab w:val="center" w:pos="4153"/>
        <w:tab w:val="right" w:pos="8306"/>
      </w:tabs>
      <w:adjustRightInd w:val="0"/>
      <w:snapToGrid w:val="0"/>
      <w:spacing w:after="200"/>
      <w:jc w:val="left"/>
    </w:pPr>
    <w:rPr>
      <w:rFonts w:ascii="Tahoma" w:hAnsi="Tahoma" w:eastAsia="微软雅黑"/>
      <w:kern w:val="0"/>
      <w:sz w:val="18"/>
      <w:szCs w:val="18"/>
    </w:rPr>
  </w:style>
  <w:style w:type="paragraph" w:styleId="6">
    <w:name w:val="header"/>
    <w:basedOn w:val="1"/>
    <w:qFormat/>
    <w:uiPriority w:val="0"/>
    <w:pPr>
      <w:widowControl/>
      <w:pBdr>
        <w:bottom w:val="single" w:color="auto" w:sz="6" w:space="1"/>
      </w:pBdr>
      <w:tabs>
        <w:tab w:val="center" w:pos="4153"/>
        <w:tab w:val="right" w:pos="8306"/>
      </w:tabs>
      <w:adjustRightInd w:val="0"/>
      <w:snapToGrid w:val="0"/>
      <w:spacing w:after="200"/>
      <w:jc w:val="center"/>
    </w:pPr>
    <w:rPr>
      <w:rFonts w:ascii="Tahoma" w:hAnsi="Tahoma" w:eastAsia="微软雅黑"/>
      <w:kern w:val="0"/>
      <w:sz w:val="18"/>
      <w:szCs w:val="18"/>
    </w:rPr>
  </w:style>
  <w:style w:type="character" w:styleId="9">
    <w:name w:val="page number"/>
    <w:basedOn w:val="8"/>
    <w:qFormat/>
    <w:uiPriority w:val="0"/>
  </w:style>
  <w:style w:type="paragraph" w:customStyle="1" w:styleId="10">
    <w:name w:val="List Paragraph"/>
    <w:basedOn w:val="1"/>
    <w:qFormat/>
    <w:uiPriority w:val="0"/>
    <w:pPr>
      <w:ind w:firstLine="200" w:firstLineChars="200"/>
    </w:pPr>
    <w:rPr>
      <w:rFonts w:ascii="Calibri" w:hAnsi="Calibri"/>
      <w:szCs w:val="22"/>
    </w:rPr>
  </w:style>
  <w:style w:type="paragraph" w:customStyle="1" w:styleId="11">
    <w:name w:val="Heading #2|1"/>
    <w:basedOn w:val="1"/>
    <w:qFormat/>
    <w:uiPriority w:val="0"/>
    <w:pPr>
      <w:widowControl w:val="0"/>
      <w:shd w:val="clear" w:color="auto" w:fill="auto"/>
      <w:spacing w:after="380" w:line="300" w:lineRule="auto"/>
      <w:jc w:val="center"/>
      <w:outlineLvl w:val="1"/>
    </w:pPr>
    <w:rPr>
      <w:rFonts w:ascii="宋体" w:hAnsi="宋体" w:eastAsia="宋体" w:cs="宋体"/>
      <w:sz w:val="40"/>
      <w:szCs w:val="40"/>
      <w:u w:val="none"/>
      <w:shd w:val="clear" w:color="auto" w:fill="auto"/>
      <w:lang w:val="zh-TW" w:eastAsia="zh-TW" w:bidi="zh-TW"/>
    </w:rPr>
  </w:style>
  <w:style w:type="character" w:customStyle="1" w:styleId="12">
    <w:name w:val="font3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6</Pages>
  <Words>1035</Words>
  <Characters>1047</Characters>
  <Lines>120</Lines>
  <Paragraphs>49</Paragraphs>
  <TotalTime>8</TotalTime>
  <ScaleCrop>false</ScaleCrop>
  <LinksUpToDate>false</LinksUpToDate>
  <CharactersWithSpaces>1278</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2017-03-23T02:20:00Z</dcterms:created>
  <dc:creator>Administrator</dc:creator>
  <cp:lastModifiedBy>stéphanie wu</cp:lastModifiedBy>
  <cp:lastPrinted>2021-01-29T02:47:00Z</cp:lastPrinted>
  <dcterms:modified xsi:type="dcterms:W3CDTF">2021-02-05T02:43:46Z</dcterms:modified>
  <dc:title>关于市医疗保障管理局干部队伍建设的报告</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