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r>
        <w:rPr>
          <w:rFonts w:hint="eastAsia"/>
          <w:sz w:val="32"/>
          <w:szCs w:val="32"/>
        </w:rPr>
        <w:t>附件1：</w:t>
      </w:r>
    </w:p>
    <w:p>
      <w:pPr>
        <w:widowControl/>
        <w:rPr>
          <w:sz w:val="32"/>
          <w:szCs w:val="32"/>
        </w:rPr>
      </w:pPr>
    </w:p>
    <w:p>
      <w:pPr>
        <w:widowControl/>
        <w:jc w:val="center"/>
        <w:rPr>
          <w:sz w:val="84"/>
          <w:szCs w:val="84"/>
        </w:rPr>
      </w:pPr>
    </w:p>
    <w:p>
      <w:pPr>
        <w:widowControl/>
        <w:jc w:val="center"/>
        <w:rPr>
          <w:rFonts w:hint="eastAsia" w:ascii="方正小标宋简体" w:eastAsia="方正小标宋简体"/>
          <w:sz w:val="84"/>
          <w:szCs w:val="84"/>
        </w:rPr>
      </w:pPr>
      <w:r>
        <w:rPr>
          <w:rFonts w:hint="eastAsia" w:ascii="方正小标宋简体" w:eastAsia="方正小标宋简体"/>
          <w:sz w:val="84"/>
          <w:szCs w:val="84"/>
          <w:lang w:val="en-US" w:eastAsia="zh-CN"/>
        </w:rPr>
        <w:t>2020</w:t>
      </w:r>
      <w:r>
        <w:rPr>
          <w:rFonts w:hint="eastAsia" w:ascii="方正小标宋简体" w:eastAsia="方正小标宋简体"/>
          <w:sz w:val="84"/>
          <w:szCs w:val="84"/>
        </w:rPr>
        <w:t>年度</w:t>
      </w:r>
    </w:p>
    <w:p>
      <w:pPr>
        <w:widowControl/>
        <w:jc w:val="center"/>
        <w:rPr>
          <w:rFonts w:ascii="方正小标宋简体" w:eastAsia="方正小标宋简体"/>
          <w:sz w:val="84"/>
          <w:szCs w:val="84"/>
        </w:rPr>
      </w:pPr>
      <w:r>
        <w:rPr>
          <w:rFonts w:hint="eastAsia" w:ascii="方正小标宋简体" w:eastAsia="方正小标宋简体"/>
          <w:sz w:val="84"/>
          <w:szCs w:val="84"/>
        </w:rPr>
        <w:t>宁德</w:t>
      </w:r>
      <w:r>
        <w:rPr>
          <w:rFonts w:hint="eastAsia" w:ascii="方正小标宋简体" w:eastAsia="方正小标宋简体"/>
          <w:sz w:val="84"/>
          <w:szCs w:val="84"/>
          <w:lang w:eastAsia="zh-CN"/>
        </w:rPr>
        <w:t>市委编办</w:t>
      </w: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2"/>
        <w:jc w:val="center"/>
        <w:rPr>
          <w:rFonts w:asciiTheme="majorEastAsia" w:hAnsiTheme="majorEastAsia" w:eastAsiaTheme="majorEastAsia"/>
          <w:b/>
          <w:sz w:val="36"/>
          <w:lang w:eastAsia="zh-CN"/>
        </w:rPr>
      </w:pPr>
      <w:r>
        <w:rPr>
          <w:rFonts w:hint="eastAsia" w:asciiTheme="majorEastAsia" w:hAnsiTheme="majorEastAsia" w:eastAsiaTheme="majorEastAsia"/>
          <w:b/>
          <w:sz w:val="36"/>
          <w:lang w:eastAsia="zh-CN"/>
        </w:rPr>
        <w:t>目录</w:t>
      </w:r>
    </w:p>
    <w:p>
      <w:pPr>
        <w:pStyle w:val="2"/>
        <w:rPr>
          <w:rFonts w:asciiTheme="majorEastAsia" w:hAnsiTheme="majorEastAsia" w:eastAsiaTheme="majorEastAsia"/>
          <w:sz w:val="36"/>
          <w:lang w:eastAsia="zh-CN"/>
        </w:rPr>
      </w:pPr>
    </w:p>
    <w:p>
      <w:pPr>
        <w:pStyle w:val="2"/>
        <w:rPr>
          <w:rFonts w:asciiTheme="majorEastAsia" w:hAnsiTheme="majorEastAsia" w:eastAsiaTheme="majorEastAsia"/>
          <w:b/>
          <w:sz w:val="28"/>
          <w:lang w:eastAsia="zh-CN"/>
        </w:rPr>
      </w:pPr>
      <w:r>
        <w:rPr>
          <w:rFonts w:hint="eastAsia" w:asciiTheme="majorEastAsia" w:hAnsiTheme="majorEastAsia" w:eastAsiaTheme="majorEastAsia"/>
          <w:b/>
          <w:sz w:val="28"/>
          <w:lang w:eastAsia="zh-CN"/>
        </w:rPr>
        <w:t>第一部分部门概况</w:t>
      </w:r>
      <w:r>
        <w:rPr>
          <w:rFonts w:asciiTheme="majorEastAsia" w:hAnsiTheme="majorEastAsia" w:eastAsiaTheme="majorEastAsia"/>
          <w:b/>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一、部门主要职责</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二、部门预算单位构成</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三、部门主要工作任务</w:t>
      </w:r>
      <w:r>
        <w:rPr>
          <w:rFonts w:asciiTheme="majorEastAsia" w:hAnsiTheme="majorEastAsia" w:eastAsiaTheme="majorEastAsia"/>
          <w:sz w:val="28"/>
          <w:lang w:eastAsia="zh-CN"/>
        </w:rPr>
        <w:t>………………………………</w:t>
      </w:r>
    </w:p>
    <w:p>
      <w:pPr>
        <w:pStyle w:val="2"/>
        <w:rPr>
          <w:rFonts w:asciiTheme="majorEastAsia" w:hAnsiTheme="majorEastAsia" w:eastAsiaTheme="majorEastAsia"/>
          <w:b/>
          <w:sz w:val="28"/>
          <w:lang w:eastAsia="zh-CN"/>
        </w:rPr>
      </w:pPr>
      <w:r>
        <w:rPr>
          <w:rFonts w:hint="eastAsia" w:asciiTheme="majorEastAsia" w:hAnsiTheme="majorEastAsia" w:eastAsiaTheme="majorEastAsia"/>
          <w:b/>
          <w:sz w:val="28"/>
          <w:lang w:eastAsia="zh-CN"/>
        </w:rPr>
        <w:t>第二部分</w:t>
      </w:r>
      <w:r>
        <w:rPr>
          <w:rFonts w:hint="eastAsia" w:asciiTheme="majorEastAsia" w:hAnsiTheme="majorEastAsia" w:eastAsiaTheme="majorEastAsia"/>
          <w:b/>
          <w:sz w:val="28"/>
          <w:lang w:val="en-US" w:eastAsia="zh-CN"/>
        </w:rPr>
        <w:t>2020</w:t>
      </w:r>
      <w:r>
        <w:rPr>
          <w:rFonts w:hint="eastAsia" w:asciiTheme="majorEastAsia" w:hAnsiTheme="majorEastAsia" w:eastAsiaTheme="majorEastAsia"/>
          <w:b/>
          <w:sz w:val="28"/>
          <w:lang w:eastAsia="zh-CN"/>
        </w:rPr>
        <w:t>年度部门预算表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一、收支预算总表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二、收入预算总表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三、支出预算总表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四、财政拨款收支预算总表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五、一般公共预算拨款支出预算表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六、政府性基金拨款支出预算表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七、一般公共预算支出经济分类情况表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八、一般公共预算基本支出经济分类情况表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九、一般公共预算“三公”经费支出预算表</w:t>
      </w:r>
      <w:r>
        <w:rPr>
          <w:rFonts w:asciiTheme="majorEastAsia" w:hAnsiTheme="majorEastAsia" w:eastAsiaTheme="majorEastAsia"/>
          <w:sz w:val="28"/>
          <w:lang w:eastAsia="zh-CN"/>
        </w:rPr>
        <w:t>………</w:t>
      </w:r>
    </w:p>
    <w:p>
      <w:pPr>
        <w:pStyle w:val="2"/>
        <w:rPr>
          <w:rFonts w:asciiTheme="majorEastAsia" w:hAnsiTheme="majorEastAsia" w:eastAsiaTheme="majorEastAsia"/>
          <w:sz w:val="28"/>
          <w:lang w:eastAsia="zh-CN"/>
        </w:rPr>
      </w:pPr>
      <w:r>
        <w:rPr>
          <w:rFonts w:hint="eastAsia" w:asciiTheme="majorEastAsia" w:hAnsiTheme="majorEastAsia" w:eastAsiaTheme="majorEastAsia"/>
          <w:sz w:val="28"/>
          <w:lang w:eastAsia="zh-CN"/>
        </w:rPr>
        <w:t>十、部门专项资金管理清单目录</w:t>
      </w:r>
      <w:r>
        <w:rPr>
          <w:rFonts w:asciiTheme="majorEastAsia" w:hAnsiTheme="majorEastAsia" w:eastAsiaTheme="majorEastAsia"/>
          <w:sz w:val="28"/>
          <w:lang w:eastAsia="zh-CN"/>
        </w:rPr>
        <w:t>……………………</w:t>
      </w:r>
    </w:p>
    <w:p>
      <w:pPr>
        <w:widowControl/>
        <w:rPr>
          <w:rFonts w:asciiTheme="majorEastAsia" w:hAnsiTheme="majorEastAsia" w:eastAsiaTheme="majorEastAsia"/>
          <w:b/>
          <w:sz w:val="32"/>
        </w:rPr>
      </w:pPr>
      <w:r>
        <w:rPr>
          <w:rFonts w:hint="eastAsia" w:asciiTheme="majorEastAsia" w:hAnsiTheme="majorEastAsia" w:eastAsiaTheme="majorEastAsia"/>
          <w:b/>
          <w:sz w:val="32"/>
        </w:rPr>
        <w:t>第三部分</w:t>
      </w:r>
      <w:r>
        <w:rPr>
          <w:rFonts w:hint="eastAsia" w:asciiTheme="majorEastAsia" w:hAnsiTheme="majorEastAsia" w:eastAsiaTheme="majorEastAsia"/>
          <w:b/>
          <w:sz w:val="32"/>
          <w:lang w:val="en-US" w:eastAsia="zh-CN"/>
        </w:rPr>
        <w:t>2020</w:t>
      </w:r>
      <w:r>
        <w:rPr>
          <w:rFonts w:hint="eastAsia" w:asciiTheme="majorEastAsia" w:hAnsiTheme="majorEastAsia" w:eastAsiaTheme="majorEastAsia"/>
          <w:b/>
          <w:sz w:val="32"/>
        </w:rPr>
        <w:t>年度部门预算情况说明</w:t>
      </w:r>
      <w:r>
        <w:rPr>
          <w:rFonts w:asciiTheme="majorEastAsia" w:hAnsiTheme="majorEastAsia" w:eastAsiaTheme="majorEastAsia"/>
          <w:sz w:val="28"/>
        </w:rPr>
        <w:t>…………</w:t>
      </w:r>
    </w:p>
    <w:p>
      <w:pPr>
        <w:widowControl/>
        <w:rPr>
          <w:rFonts w:cs="Times New Roman" w:asciiTheme="majorEastAsia" w:hAnsiTheme="majorEastAsia" w:eastAsiaTheme="majorEastAsia"/>
          <w:kern w:val="0"/>
          <w:sz w:val="28"/>
          <w:szCs w:val="20"/>
        </w:rPr>
      </w:pPr>
      <w:r>
        <w:rPr>
          <w:rFonts w:hint="eastAsia" w:cs="Times New Roman" w:asciiTheme="majorEastAsia" w:hAnsiTheme="majorEastAsia" w:eastAsiaTheme="majorEastAsia"/>
          <w:kern w:val="0"/>
          <w:sz w:val="28"/>
          <w:szCs w:val="20"/>
        </w:rPr>
        <w:t>一、预算收支总体情况</w:t>
      </w:r>
      <w:r>
        <w:rPr>
          <w:rFonts w:asciiTheme="majorEastAsia" w:hAnsiTheme="majorEastAsia" w:eastAsiaTheme="majorEastAsia"/>
          <w:sz w:val="28"/>
        </w:rPr>
        <w:t>………………………………</w:t>
      </w:r>
    </w:p>
    <w:p>
      <w:pPr>
        <w:widowControl/>
        <w:rPr>
          <w:rFonts w:cs="Times New Roman" w:asciiTheme="majorEastAsia" w:hAnsiTheme="majorEastAsia" w:eastAsiaTheme="majorEastAsia"/>
          <w:kern w:val="0"/>
          <w:sz w:val="28"/>
          <w:szCs w:val="20"/>
        </w:rPr>
      </w:pPr>
      <w:r>
        <w:rPr>
          <w:rFonts w:hint="eastAsia" w:cs="Times New Roman" w:asciiTheme="majorEastAsia" w:hAnsiTheme="majorEastAsia" w:eastAsiaTheme="majorEastAsia"/>
          <w:kern w:val="0"/>
          <w:sz w:val="28"/>
          <w:szCs w:val="20"/>
        </w:rPr>
        <w:t>二、一般公共预算拨款支出情况</w:t>
      </w:r>
      <w:r>
        <w:rPr>
          <w:rFonts w:cs="Times New Roman" w:asciiTheme="majorEastAsia" w:hAnsiTheme="majorEastAsia" w:eastAsiaTheme="majorEastAsia"/>
          <w:kern w:val="0"/>
          <w:sz w:val="28"/>
          <w:szCs w:val="20"/>
        </w:rPr>
        <w:t>………………………</w:t>
      </w:r>
    </w:p>
    <w:p>
      <w:pPr>
        <w:widowControl/>
        <w:rPr>
          <w:rFonts w:cs="Times New Roman" w:asciiTheme="majorEastAsia" w:hAnsiTheme="majorEastAsia" w:eastAsiaTheme="majorEastAsia"/>
          <w:kern w:val="0"/>
          <w:sz w:val="28"/>
          <w:szCs w:val="20"/>
        </w:rPr>
      </w:pPr>
      <w:r>
        <w:rPr>
          <w:rFonts w:hint="eastAsia" w:cs="Times New Roman" w:asciiTheme="majorEastAsia" w:hAnsiTheme="majorEastAsia" w:eastAsiaTheme="majorEastAsia"/>
          <w:kern w:val="0"/>
          <w:sz w:val="28"/>
          <w:szCs w:val="20"/>
        </w:rPr>
        <w:t>三、政府性基金预算拨款支出情况</w:t>
      </w:r>
      <w:r>
        <w:rPr>
          <w:rFonts w:cs="Times New Roman" w:asciiTheme="majorEastAsia" w:hAnsiTheme="majorEastAsia" w:eastAsiaTheme="majorEastAsia"/>
          <w:kern w:val="0"/>
          <w:sz w:val="28"/>
          <w:szCs w:val="20"/>
        </w:rPr>
        <w:t>……………………</w:t>
      </w:r>
    </w:p>
    <w:p>
      <w:pPr>
        <w:widowControl/>
        <w:rPr>
          <w:rFonts w:cs="Times New Roman" w:asciiTheme="majorEastAsia" w:hAnsiTheme="majorEastAsia" w:eastAsiaTheme="majorEastAsia"/>
          <w:kern w:val="0"/>
          <w:sz w:val="28"/>
          <w:szCs w:val="20"/>
        </w:rPr>
      </w:pPr>
      <w:r>
        <w:rPr>
          <w:rFonts w:hint="eastAsia" w:cs="Times New Roman" w:asciiTheme="majorEastAsia" w:hAnsiTheme="majorEastAsia" w:eastAsiaTheme="majorEastAsia"/>
          <w:kern w:val="0"/>
          <w:sz w:val="28"/>
          <w:szCs w:val="20"/>
        </w:rPr>
        <w:t>四、财政拨款预算基本支出情况</w:t>
      </w:r>
      <w:r>
        <w:rPr>
          <w:rFonts w:cs="Times New Roman" w:asciiTheme="majorEastAsia" w:hAnsiTheme="majorEastAsia" w:eastAsiaTheme="majorEastAsia"/>
          <w:kern w:val="0"/>
          <w:sz w:val="28"/>
          <w:szCs w:val="20"/>
        </w:rPr>
        <w:t>………………………</w:t>
      </w:r>
    </w:p>
    <w:p>
      <w:pPr>
        <w:widowControl/>
        <w:rPr>
          <w:rFonts w:cs="Times New Roman" w:asciiTheme="majorEastAsia" w:hAnsiTheme="majorEastAsia" w:eastAsiaTheme="majorEastAsia"/>
          <w:kern w:val="0"/>
          <w:sz w:val="28"/>
          <w:szCs w:val="20"/>
        </w:rPr>
      </w:pPr>
      <w:r>
        <w:rPr>
          <w:rFonts w:hint="eastAsia" w:cs="Times New Roman" w:asciiTheme="majorEastAsia" w:hAnsiTheme="majorEastAsia" w:eastAsiaTheme="majorEastAsia"/>
          <w:kern w:val="0"/>
          <w:sz w:val="28"/>
          <w:szCs w:val="20"/>
        </w:rPr>
        <w:t>五、一般公共预算“三公”经费支出情况</w:t>
      </w:r>
      <w:r>
        <w:rPr>
          <w:rFonts w:cs="Times New Roman" w:asciiTheme="majorEastAsia" w:hAnsiTheme="majorEastAsia" w:eastAsiaTheme="majorEastAsia"/>
          <w:kern w:val="0"/>
          <w:sz w:val="28"/>
          <w:szCs w:val="20"/>
        </w:rPr>
        <w:t>………………</w:t>
      </w:r>
    </w:p>
    <w:p>
      <w:pPr>
        <w:widowControl/>
        <w:rPr>
          <w:rFonts w:cs="Times New Roman" w:asciiTheme="majorEastAsia" w:hAnsiTheme="majorEastAsia" w:eastAsiaTheme="majorEastAsia"/>
          <w:kern w:val="0"/>
          <w:sz w:val="28"/>
          <w:szCs w:val="20"/>
        </w:rPr>
      </w:pPr>
      <w:r>
        <w:rPr>
          <w:rFonts w:hint="eastAsia" w:cs="Times New Roman" w:asciiTheme="majorEastAsia" w:hAnsiTheme="majorEastAsia" w:eastAsiaTheme="majorEastAsia"/>
          <w:kern w:val="0"/>
          <w:sz w:val="28"/>
          <w:szCs w:val="20"/>
        </w:rPr>
        <w:t>六、预算绩效目标情况</w:t>
      </w:r>
      <w:r>
        <w:rPr>
          <w:rFonts w:cs="Times New Roman" w:asciiTheme="majorEastAsia" w:hAnsiTheme="majorEastAsia" w:eastAsiaTheme="majorEastAsia"/>
          <w:kern w:val="0"/>
          <w:sz w:val="28"/>
          <w:szCs w:val="20"/>
        </w:rPr>
        <w:t>…………………………………</w:t>
      </w:r>
    </w:p>
    <w:p>
      <w:pPr>
        <w:widowControl/>
        <w:rPr>
          <w:rFonts w:cs="Times New Roman" w:asciiTheme="majorEastAsia" w:hAnsiTheme="majorEastAsia" w:eastAsiaTheme="majorEastAsia"/>
          <w:kern w:val="0"/>
          <w:sz w:val="28"/>
          <w:szCs w:val="20"/>
        </w:rPr>
      </w:pPr>
      <w:r>
        <w:rPr>
          <w:rFonts w:hint="eastAsia" w:cs="Times New Roman" w:asciiTheme="majorEastAsia" w:hAnsiTheme="majorEastAsia" w:eastAsiaTheme="majorEastAsia"/>
          <w:kern w:val="0"/>
          <w:sz w:val="28"/>
          <w:szCs w:val="20"/>
        </w:rPr>
        <w:t>七、其他重要事项说明</w:t>
      </w:r>
      <w:r>
        <w:rPr>
          <w:rFonts w:cs="Times New Roman" w:asciiTheme="majorEastAsia" w:hAnsiTheme="majorEastAsia" w:eastAsiaTheme="majorEastAsia"/>
          <w:kern w:val="0"/>
          <w:sz w:val="28"/>
          <w:szCs w:val="20"/>
        </w:rPr>
        <w:t>…………………………………</w:t>
      </w:r>
    </w:p>
    <w:p>
      <w:pPr>
        <w:pStyle w:val="2"/>
        <w:spacing w:before="3"/>
        <w:rPr>
          <w:rFonts w:eastAsiaTheme="minorEastAsia"/>
          <w:sz w:val="22"/>
          <w:lang w:eastAsia="zh-CN"/>
        </w:rPr>
      </w:pPr>
      <w:r>
        <w:rPr>
          <w:rFonts w:hint="eastAsia" w:asciiTheme="majorEastAsia" w:hAnsiTheme="majorEastAsia" w:eastAsiaTheme="majorEastAsia"/>
          <w:b/>
          <w:sz w:val="32"/>
          <w:lang w:eastAsia="zh-CN"/>
        </w:rPr>
        <w:t>第四部分名词解释</w:t>
      </w:r>
      <w:r>
        <w:rPr>
          <w:rFonts w:asciiTheme="majorEastAsia" w:hAnsiTheme="majorEastAsia" w:eastAsiaTheme="majorEastAsia"/>
          <w:sz w:val="28"/>
          <w:lang w:eastAsia="zh-CN"/>
        </w:rPr>
        <w:t>…………………………………</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rPr>
          <w:rFonts w:ascii="黑体" w:hAnsi="黑体" w:eastAsia="黑体"/>
          <w:sz w:val="36"/>
          <w:szCs w:val="36"/>
          <w:lang w:eastAsia="zh-CN"/>
        </w:rPr>
      </w:pPr>
      <w:r>
        <w:rPr>
          <w:rFonts w:hint="eastAsia" w:ascii="黑体" w:hAnsi="黑体" w:eastAsia="黑体"/>
          <w:sz w:val="36"/>
          <w:szCs w:val="36"/>
          <w:lang w:eastAsia="zh-CN"/>
        </w:rPr>
        <w:t>第一部分部门概况</w:t>
      </w:r>
    </w:p>
    <w:p>
      <w:pPr>
        <w:pStyle w:val="2"/>
        <w:rPr>
          <w:rFonts w:ascii="黑体" w:hAnsi="黑体" w:eastAsia="黑体"/>
          <w:sz w:val="36"/>
          <w:szCs w:val="36"/>
          <w:lang w:eastAsia="zh-CN"/>
        </w:rPr>
      </w:pPr>
    </w:p>
    <w:p>
      <w:pPr>
        <w:pStyle w:val="2"/>
        <w:keepNext w:val="0"/>
        <w:keepLines w:val="0"/>
        <w:pageBreakBefore w:val="0"/>
        <w:widowControl w:val="0"/>
        <w:kinsoku/>
        <w:wordWrap/>
        <w:overflowPunct/>
        <w:topLinePunct w:val="0"/>
        <w:bidi w:val="0"/>
        <w:spacing w:line="700" w:lineRule="exact"/>
        <w:ind w:firstLine="643" w:firstLineChars="200"/>
        <w:textAlignment w:val="auto"/>
        <w:rPr>
          <w:rFonts w:ascii="仿宋" w:hAnsi="仿宋" w:eastAsia="仿宋" w:cstheme="minorBidi"/>
          <w:b/>
          <w:kern w:val="2"/>
          <w:sz w:val="32"/>
          <w:szCs w:val="32"/>
          <w:lang w:eastAsia="zh-CN"/>
        </w:rPr>
      </w:pPr>
      <w:r>
        <w:rPr>
          <w:rFonts w:hint="eastAsia" w:ascii="仿宋" w:hAnsi="仿宋" w:eastAsia="仿宋" w:cstheme="minorBidi"/>
          <w:b/>
          <w:kern w:val="2"/>
          <w:sz w:val="32"/>
          <w:szCs w:val="32"/>
          <w:lang w:eastAsia="zh-CN"/>
        </w:rPr>
        <w:t>一、部门主要职责</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3" w:firstLineChars="200"/>
        <w:textAlignment w:val="auto"/>
        <w:outlineLvl w:val="9"/>
        <w:rPr>
          <w:rFonts w:hint="eastAsia" w:ascii="仿宋_GB2312" w:hAnsi="宋体" w:eastAsia="仿宋_GB2312" w:cs="仿宋_GB2312"/>
          <w:b/>
          <w:bCs/>
          <w:color w:val="000000"/>
          <w:sz w:val="32"/>
          <w:szCs w:val="32"/>
        </w:rPr>
      </w:pPr>
      <w:r>
        <w:rPr>
          <w:rFonts w:hint="eastAsia" w:ascii="仿宋" w:hAnsi="仿宋" w:eastAsia="仿宋" w:cs="宋体"/>
          <w:b/>
          <w:color w:val="333333"/>
          <w:kern w:val="0"/>
          <w:sz w:val="32"/>
          <w:szCs w:val="32"/>
        </w:rPr>
        <w:t>宁德市委编办</w:t>
      </w:r>
      <w:r>
        <w:rPr>
          <w:rFonts w:hint="eastAsia" w:ascii="仿宋_GB2312" w:hAnsi="宋体" w:eastAsia="仿宋_GB2312" w:cs="仿宋_GB2312"/>
          <w:b/>
          <w:bCs/>
          <w:color w:val="000000"/>
          <w:sz w:val="32"/>
          <w:szCs w:val="32"/>
        </w:rPr>
        <w:t>的主要职责是：</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一）贯彻执行党和国家有关行政管理体制、机构改革以及机构编制管理的方针、政策、法规，统一管理全市各级党政机关，人大、政协、检察院、法院机关，各民主党派、工商联、人民团体机关及事业单位的机构编制工作。</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 xml:space="preserve">（二）研究拟订市级行政管理体制与机构改革的总体方案及实施办法。审核市级党政群机关各部门以及县（市、区）、乡镇（街道）机构改革方案，指导、协调全市各级行政管理体制、机构改革和机构编制管理工作。    </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三）协调市级党政群各部门的职能配置与调整，协调各部门之间以及各部门与县（市、区）、乡镇（街道）之间的职责分工；负责市级党政群机关、驻外机构和各类开发区以及具有行业管理职能的单位的内设机构、人员编制、领导职数以及人员编制结构、人员变动的编制审核审批工作；负责审核县（市、区）级党政群工作机构的设置与调整和乡镇（街道）党政工作部门机构限额以及县（市、区）、乡镇（街道）各级机关人员编制总额；负责审核审批市、县（市、区）、乡镇（街道）各级党政群机关副科级以上（含副科级）机构的设置与调整。审核市级议事协调机构和临时机构。</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四）研究拟订全市事业单位管理体制和机构改革的总体方案及其配套的有关政策；负责市属副处级以上事业单位机构设置、人员编制、领导职数、人员编制结构及县（市、区）属相当副处级以上事业单位设置的审核；负责市直事业单位机构设置、人员编制、领导职数、人员编制结构及县（市、区）、乡镇（街道）所属事业单位确定正、副科级规格的审批；负责办理事业机构编制管理方面的其他事项；指导、协调各级事业单位机构改革和机构编制管理工作。</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（五）监督检查各级机构改革方案和机构编制的执行情况，对随意增设机构、机构升格、增加人员编制和领导职数等违反编制法规行为，予以纠正或提出意见报告市委、市政府和市委机构编制委员会。</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hAnsi="宋体" w:eastAsia="仿宋_GB2312" w:cs="宋体"/>
          <w:kern w:val="0"/>
          <w:sz w:val="32"/>
          <w:szCs w:val="32"/>
        </w:rPr>
      </w:pPr>
      <w:r>
        <w:rPr>
          <w:rFonts w:hint="eastAsia" w:ascii="仿宋_GB2312" w:eastAsia="仿宋_GB2312" w:cs="仿宋_GB2312"/>
          <w:sz w:val="32"/>
          <w:szCs w:val="32"/>
          <w:lang w:eastAsia="zh-CN"/>
        </w:rPr>
        <w:t>（六）</w:t>
      </w:r>
      <w:r>
        <w:rPr>
          <w:rFonts w:hint="eastAsia" w:ascii="仿宋_GB2312" w:hAnsi="宋体" w:eastAsia="仿宋_GB2312" w:cs="宋体"/>
          <w:kern w:val="0"/>
          <w:sz w:val="32"/>
          <w:szCs w:val="32"/>
        </w:rPr>
        <w:t>研究行政体制改革以及相关领域涉及行政体制改革的重大问题，掌握相关改革动态，提出有关建议意见。</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七</w:t>
      </w:r>
      <w:r>
        <w:rPr>
          <w:rFonts w:hint="eastAsia" w:ascii="仿宋_GB2312" w:eastAsia="仿宋_GB2312" w:cs="仿宋_GB2312"/>
          <w:sz w:val="32"/>
          <w:szCs w:val="32"/>
        </w:rPr>
        <w:t>）负责行政管理体制、机构改革及机构编制的理论研究和信息传递、交流工作，负责机构编制工作的情况综合、干部培训以及统计业务工作等。</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八</w:t>
      </w:r>
      <w:r>
        <w:rPr>
          <w:rFonts w:hint="eastAsia" w:ascii="仿宋_GB2312" w:eastAsia="仿宋_GB2312" w:cs="仿宋_GB2312"/>
          <w:sz w:val="32"/>
          <w:szCs w:val="32"/>
        </w:rPr>
        <w:t>）负责联系中央、省在闽东机构的有关机构编制工作，负责中央编委、省委编委下达有关部门专项编制的分配和管理工作。</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九</w:t>
      </w:r>
      <w:r>
        <w:rPr>
          <w:rFonts w:hint="eastAsia" w:ascii="仿宋_GB2312" w:eastAsia="仿宋_GB2312" w:cs="仿宋_GB2312"/>
          <w:sz w:val="32"/>
          <w:szCs w:val="32"/>
        </w:rPr>
        <w:t>）负责机关事业单位登记管理的各项工作，参与管理机关事业单位的统一代码标识工作。</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十</w:t>
      </w:r>
      <w:r>
        <w:rPr>
          <w:rFonts w:hint="eastAsia" w:ascii="仿宋_GB2312" w:eastAsia="仿宋_GB2312" w:cs="仿宋_GB2312"/>
          <w:sz w:val="32"/>
          <w:szCs w:val="32"/>
        </w:rPr>
        <w:t>）完成市委、市政府和市委机构编制委员会交办的其它事项。</w:t>
      </w:r>
    </w:p>
    <w:p>
      <w:pPr>
        <w:pStyle w:val="2"/>
        <w:keepNext w:val="0"/>
        <w:keepLines w:val="0"/>
        <w:pageBreakBefore w:val="0"/>
        <w:widowControl w:val="0"/>
        <w:kinsoku/>
        <w:wordWrap/>
        <w:overflowPunct/>
        <w:topLinePunct w:val="0"/>
        <w:bidi w:val="0"/>
        <w:spacing w:line="700" w:lineRule="exact"/>
        <w:ind w:firstLine="643" w:firstLineChars="200"/>
        <w:textAlignment w:val="auto"/>
        <w:rPr>
          <w:rFonts w:ascii="仿宋" w:hAnsi="仿宋" w:eastAsia="仿宋" w:cstheme="minorBidi"/>
          <w:b/>
          <w:kern w:val="2"/>
          <w:sz w:val="32"/>
          <w:szCs w:val="32"/>
          <w:lang w:eastAsia="zh-CN"/>
        </w:rPr>
      </w:pPr>
      <w:r>
        <w:rPr>
          <w:rFonts w:hint="eastAsia" w:ascii="仿宋" w:hAnsi="仿宋" w:eastAsia="仿宋" w:cstheme="minorBidi"/>
          <w:b/>
          <w:kern w:val="2"/>
          <w:sz w:val="32"/>
          <w:szCs w:val="32"/>
          <w:lang w:eastAsia="zh-CN"/>
        </w:rPr>
        <w:t>二、部门预算单位构成</w:t>
      </w:r>
    </w:p>
    <w:p>
      <w:pPr>
        <w:keepNext w:val="0"/>
        <w:keepLines w:val="0"/>
        <w:pageBreakBefore w:val="0"/>
        <w:widowControl w:val="0"/>
        <w:tabs>
          <w:tab w:val="left" w:pos="7513"/>
        </w:tabs>
        <w:kinsoku/>
        <w:wordWrap/>
        <w:overflowPunct/>
        <w:topLinePunct w:val="0"/>
        <w:bidi w:val="0"/>
        <w:adjustRightInd w:val="0"/>
        <w:snapToGrid w:val="0"/>
        <w:spacing w:line="7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w:t>
      </w:r>
      <w:r>
        <w:rPr>
          <w:rFonts w:hint="eastAsia" w:ascii="仿宋_GB2312" w:hAnsi="仿宋_GB2312" w:eastAsia="仿宋_GB2312" w:cs="仿宋_GB2312"/>
          <w:color w:val="000000"/>
          <w:kern w:val="2"/>
          <w:sz w:val="32"/>
          <w:szCs w:val="32"/>
        </w:rPr>
        <w:t>宁德市委编办包括6个机关行政科室及1个下属单位</w:t>
      </w:r>
      <w:r>
        <w:rPr>
          <w:rFonts w:hint="eastAsia" w:ascii="仿宋_GB2312" w:hAnsi="仿宋_GB2312" w:eastAsia="仿宋_GB2312" w:cs="仿宋_GB2312"/>
          <w:sz w:val="32"/>
          <w:szCs w:val="32"/>
        </w:rPr>
        <w:t>，其中：列入</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年部门预算编制范围的单位详细情况见下表: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tcPr>
          <w:p>
            <w:pPr>
              <w:keepNext w:val="0"/>
              <w:keepLines w:val="0"/>
              <w:pageBreakBefore w:val="0"/>
              <w:widowControl w:val="0"/>
              <w:tabs>
                <w:tab w:val="left" w:pos="7513"/>
              </w:tabs>
              <w:kinsoku/>
              <w:wordWrap/>
              <w:overflowPunct/>
              <w:topLinePunct w:val="0"/>
              <w:bidi w:val="0"/>
              <w:adjustRightInd w:val="0"/>
              <w:snapToGrid w:val="0"/>
              <w:spacing w:line="700" w:lineRule="exact"/>
              <w:jc w:val="center"/>
              <w:textAlignment w:val="auto"/>
              <w:rPr>
                <w:rFonts w:ascii="仿宋" w:hAnsi="仿宋" w:eastAsia="仿宋"/>
                <w:sz w:val="32"/>
                <w:szCs w:val="32"/>
              </w:rPr>
            </w:pPr>
            <w:r>
              <w:rPr>
                <w:rFonts w:hint="eastAsia" w:ascii="仿宋" w:hAnsi="仿宋" w:eastAsia="仿宋"/>
                <w:sz w:val="32"/>
                <w:szCs w:val="32"/>
              </w:rPr>
              <w:t>单位名称</w:t>
            </w:r>
          </w:p>
        </w:tc>
        <w:tc>
          <w:tcPr>
            <w:tcW w:w="2130" w:type="dxa"/>
            <w:shd w:val="clear" w:color="auto" w:fill="auto"/>
          </w:tcPr>
          <w:p>
            <w:pPr>
              <w:keepNext w:val="0"/>
              <w:keepLines w:val="0"/>
              <w:pageBreakBefore w:val="0"/>
              <w:widowControl w:val="0"/>
              <w:tabs>
                <w:tab w:val="left" w:pos="7513"/>
              </w:tabs>
              <w:kinsoku/>
              <w:wordWrap/>
              <w:overflowPunct/>
              <w:topLinePunct w:val="0"/>
              <w:bidi w:val="0"/>
              <w:adjustRightInd w:val="0"/>
              <w:snapToGrid w:val="0"/>
              <w:spacing w:line="700" w:lineRule="exact"/>
              <w:jc w:val="center"/>
              <w:textAlignment w:val="auto"/>
              <w:rPr>
                <w:rFonts w:ascii="仿宋" w:hAnsi="仿宋" w:eastAsia="仿宋"/>
                <w:sz w:val="32"/>
                <w:szCs w:val="32"/>
              </w:rPr>
            </w:pPr>
            <w:r>
              <w:rPr>
                <w:rFonts w:hint="eastAsia" w:ascii="仿宋" w:hAnsi="仿宋" w:eastAsia="仿宋"/>
                <w:sz w:val="32"/>
                <w:szCs w:val="32"/>
              </w:rPr>
              <w:t>经费性质</w:t>
            </w:r>
          </w:p>
        </w:tc>
        <w:tc>
          <w:tcPr>
            <w:tcW w:w="2131" w:type="dxa"/>
            <w:shd w:val="clear" w:color="auto" w:fill="auto"/>
          </w:tcPr>
          <w:p>
            <w:pPr>
              <w:keepNext w:val="0"/>
              <w:keepLines w:val="0"/>
              <w:pageBreakBefore w:val="0"/>
              <w:widowControl w:val="0"/>
              <w:tabs>
                <w:tab w:val="left" w:pos="7513"/>
              </w:tabs>
              <w:kinsoku/>
              <w:wordWrap/>
              <w:overflowPunct/>
              <w:topLinePunct w:val="0"/>
              <w:bidi w:val="0"/>
              <w:adjustRightInd w:val="0"/>
              <w:snapToGrid w:val="0"/>
              <w:spacing w:line="700" w:lineRule="exact"/>
              <w:jc w:val="center"/>
              <w:textAlignment w:val="auto"/>
              <w:rPr>
                <w:rFonts w:ascii="仿宋" w:hAnsi="仿宋" w:eastAsia="仿宋"/>
                <w:sz w:val="32"/>
                <w:szCs w:val="32"/>
              </w:rPr>
            </w:pPr>
            <w:r>
              <w:rPr>
                <w:rFonts w:hint="eastAsia" w:ascii="仿宋" w:hAnsi="仿宋" w:eastAsia="仿宋"/>
                <w:sz w:val="32"/>
                <w:szCs w:val="32"/>
              </w:rPr>
              <w:t>人员编制数</w:t>
            </w:r>
          </w:p>
        </w:tc>
        <w:tc>
          <w:tcPr>
            <w:tcW w:w="2131" w:type="dxa"/>
            <w:shd w:val="clear" w:color="auto" w:fill="auto"/>
          </w:tcPr>
          <w:p>
            <w:pPr>
              <w:keepNext w:val="0"/>
              <w:keepLines w:val="0"/>
              <w:pageBreakBefore w:val="0"/>
              <w:widowControl w:val="0"/>
              <w:tabs>
                <w:tab w:val="left" w:pos="7513"/>
              </w:tabs>
              <w:kinsoku/>
              <w:wordWrap/>
              <w:overflowPunct/>
              <w:topLinePunct w:val="0"/>
              <w:bidi w:val="0"/>
              <w:adjustRightInd w:val="0"/>
              <w:snapToGrid w:val="0"/>
              <w:spacing w:line="700" w:lineRule="exact"/>
              <w:jc w:val="center"/>
              <w:textAlignment w:val="auto"/>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700" w:lineRule="exact"/>
              <w:ind w:left="0" w:leftChars="0" w:right="0" w:rightChars="0"/>
              <w:jc w:val="both"/>
              <w:textAlignment w:val="auto"/>
              <w:rPr>
                <w:rFonts w:ascii="仿宋" w:hAnsi="仿宋" w:eastAsia="仿宋" w:cs="Times New Roman"/>
                <w:b/>
                <w:bCs/>
                <w:kern w:val="2"/>
                <w:sz w:val="32"/>
                <w:szCs w:val="32"/>
                <w:lang w:val="en-US" w:eastAsia="zh-CN" w:bidi="ar-SA"/>
              </w:rPr>
            </w:pPr>
            <w:r>
              <w:rPr>
                <w:rFonts w:hint="eastAsia" w:ascii="仿宋_GB2312" w:hAnsi="宋体" w:eastAsia="仿宋_GB2312" w:cs="仿宋_GB2312"/>
                <w:kern w:val="2"/>
                <w:sz w:val="32"/>
                <w:szCs w:val="32"/>
              </w:rPr>
              <w:t>中共宁德市委编办</w:t>
            </w:r>
          </w:p>
        </w:tc>
        <w:tc>
          <w:tcPr>
            <w:tcW w:w="2130" w:type="dxa"/>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700" w:lineRule="exact"/>
              <w:ind w:left="0" w:leftChars="0" w:right="0" w:rightChars="0"/>
              <w:jc w:val="both"/>
              <w:textAlignment w:val="auto"/>
              <w:rPr>
                <w:rFonts w:ascii="仿宋" w:hAnsi="仿宋" w:eastAsia="仿宋" w:cs="Times New Roman"/>
                <w:b/>
                <w:bCs/>
                <w:kern w:val="2"/>
                <w:sz w:val="32"/>
                <w:szCs w:val="32"/>
                <w:lang w:val="en-US" w:eastAsia="zh-CN" w:bidi="ar-SA"/>
              </w:rPr>
            </w:pPr>
            <w:r>
              <w:rPr>
                <w:rFonts w:hint="eastAsia" w:ascii="仿宋_GB2312" w:hAnsi="宋体" w:eastAsia="仿宋_GB2312" w:cs="仿宋_GB2312"/>
                <w:kern w:val="2"/>
                <w:sz w:val="32"/>
                <w:szCs w:val="32"/>
              </w:rPr>
              <w:t>全额拨款</w:t>
            </w:r>
          </w:p>
        </w:tc>
        <w:tc>
          <w:tcPr>
            <w:tcW w:w="2131" w:type="dxa"/>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700" w:lineRule="exact"/>
              <w:ind w:left="0" w:leftChars="0" w:right="0" w:rightChars="0"/>
              <w:jc w:val="both"/>
              <w:textAlignment w:val="auto"/>
              <w:rPr>
                <w:rFonts w:hint="eastAsia" w:ascii="仿宋" w:hAnsi="仿宋" w:eastAsia="仿宋_GB2312" w:cs="Times New Roman"/>
                <w:b/>
                <w:bCs/>
                <w:kern w:val="2"/>
                <w:sz w:val="32"/>
                <w:szCs w:val="32"/>
                <w:lang w:val="en-US" w:eastAsia="zh-CN" w:bidi="ar-SA"/>
              </w:rPr>
            </w:pPr>
            <w:r>
              <w:rPr>
                <w:rFonts w:hint="eastAsia" w:ascii="仿宋_GB2312" w:hAnsi="宋体" w:eastAsia="仿宋_GB2312" w:cs="仿宋_GB2312"/>
                <w:kern w:val="2"/>
                <w:sz w:val="32"/>
                <w:szCs w:val="32"/>
              </w:rPr>
              <w:t>1</w:t>
            </w:r>
            <w:r>
              <w:rPr>
                <w:rFonts w:hint="eastAsia" w:ascii="仿宋_GB2312" w:hAnsi="宋体" w:eastAsia="仿宋_GB2312" w:cs="仿宋_GB2312"/>
                <w:kern w:val="2"/>
                <w:sz w:val="32"/>
                <w:szCs w:val="32"/>
                <w:lang w:val="en-US" w:eastAsia="zh-CN"/>
              </w:rPr>
              <w:t>5</w:t>
            </w:r>
          </w:p>
        </w:tc>
        <w:tc>
          <w:tcPr>
            <w:tcW w:w="2131" w:type="dxa"/>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700" w:lineRule="exact"/>
              <w:ind w:left="0" w:leftChars="0" w:right="0" w:rightChars="0"/>
              <w:jc w:val="both"/>
              <w:textAlignment w:val="auto"/>
              <w:rPr>
                <w:rFonts w:hint="eastAsia" w:ascii="仿宋" w:hAnsi="仿宋" w:eastAsia="仿宋_GB2312" w:cs="Times New Roman"/>
                <w:b/>
                <w:bCs/>
                <w:kern w:val="2"/>
                <w:sz w:val="32"/>
                <w:szCs w:val="32"/>
                <w:lang w:val="en-US" w:eastAsia="zh-CN" w:bidi="ar-SA"/>
              </w:rPr>
            </w:pPr>
            <w:r>
              <w:rPr>
                <w:rFonts w:hint="eastAsia" w:ascii="仿宋_GB2312" w:hAnsi="宋体" w:eastAsia="仿宋_GB2312" w:cs="仿宋_GB2312"/>
                <w:kern w:val="2"/>
                <w:sz w:val="32"/>
                <w:szCs w:val="32"/>
              </w:rPr>
              <w:t>1</w:t>
            </w:r>
            <w:r>
              <w:rPr>
                <w:rFonts w:hint="eastAsia" w:ascii="仿宋_GB2312" w:hAnsi="宋体" w:eastAsia="仿宋_GB2312" w:cs="仿宋_GB2312"/>
                <w:kern w:val="2"/>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700" w:lineRule="exact"/>
              <w:ind w:left="0" w:leftChars="0" w:right="0" w:rightChars="0"/>
              <w:jc w:val="both"/>
              <w:textAlignment w:val="auto"/>
              <w:rPr>
                <w:rFonts w:ascii="仿宋" w:hAnsi="仿宋" w:eastAsia="仿宋" w:cs="Times New Roman"/>
                <w:b/>
                <w:bCs/>
                <w:kern w:val="2"/>
                <w:sz w:val="32"/>
                <w:szCs w:val="32"/>
                <w:lang w:val="en-US" w:eastAsia="zh-CN" w:bidi="ar-SA"/>
              </w:rPr>
            </w:pPr>
            <w:r>
              <w:rPr>
                <w:rFonts w:hint="eastAsia" w:ascii="仿宋_GB2312" w:hAnsi="宋体" w:eastAsia="仿宋_GB2312" w:cs="仿宋_GB2312"/>
                <w:kern w:val="2"/>
                <w:sz w:val="32"/>
                <w:szCs w:val="32"/>
              </w:rPr>
              <w:t>宁德市事业单位登记管理局</w:t>
            </w:r>
          </w:p>
        </w:tc>
        <w:tc>
          <w:tcPr>
            <w:tcW w:w="2130" w:type="dxa"/>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700" w:lineRule="exact"/>
              <w:ind w:left="0" w:leftChars="0" w:right="0" w:rightChars="0"/>
              <w:jc w:val="both"/>
              <w:textAlignment w:val="auto"/>
              <w:rPr>
                <w:rFonts w:ascii="仿宋" w:hAnsi="仿宋" w:eastAsia="仿宋" w:cs="Times New Roman"/>
                <w:b/>
                <w:bCs/>
                <w:kern w:val="2"/>
                <w:sz w:val="32"/>
                <w:szCs w:val="32"/>
                <w:lang w:val="en-US" w:eastAsia="zh-CN" w:bidi="ar-SA"/>
              </w:rPr>
            </w:pPr>
            <w:r>
              <w:rPr>
                <w:rFonts w:hint="eastAsia" w:ascii="仿宋_GB2312" w:hAnsi="宋体" w:eastAsia="仿宋_GB2312" w:cs="仿宋_GB2312"/>
                <w:kern w:val="2"/>
                <w:sz w:val="32"/>
                <w:szCs w:val="32"/>
              </w:rPr>
              <w:t>全额拨款</w:t>
            </w:r>
          </w:p>
        </w:tc>
        <w:tc>
          <w:tcPr>
            <w:tcW w:w="2131" w:type="dxa"/>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700" w:lineRule="exact"/>
              <w:ind w:left="0" w:leftChars="0" w:right="0" w:rightChars="0"/>
              <w:jc w:val="both"/>
              <w:textAlignment w:val="auto"/>
              <w:rPr>
                <w:rFonts w:ascii="仿宋" w:hAnsi="仿宋" w:eastAsia="仿宋" w:cs="Times New Roman"/>
                <w:b/>
                <w:bCs/>
                <w:kern w:val="2"/>
                <w:sz w:val="32"/>
                <w:szCs w:val="32"/>
                <w:lang w:val="en-US" w:eastAsia="zh-CN" w:bidi="ar-SA"/>
              </w:rPr>
            </w:pPr>
            <w:r>
              <w:rPr>
                <w:rFonts w:hint="eastAsia" w:ascii="仿宋_GB2312" w:hAnsi="宋体" w:eastAsia="仿宋_GB2312" w:cs="仿宋_GB2312"/>
                <w:kern w:val="2"/>
                <w:sz w:val="32"/>
                <w:szCs w:val="32"/>
              </w:rPr>
              <w:t>7</w:t>
            </w:r>
          </w:p>
        </w:tc>
        <w:tc>
          <w:tcPr>
            <w:tcW w:w="2131" w:type="dxa"/>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line="700" w:lineRule="exact"/>
              <w:ind w:left="0" w:leftChars="0" w:right="0" w:rightChars="0"/>
              <w:jc w:val="both"/>
              <w:textAlignment w:val="auto"/>
              <w:rPr>
                <w:rFonts w:hint="eastAsia" w:ascii="仿宋" w:hAnsi="仿宋" w:eastAsia="仿宋" w:cs="Times New Roman"/>
                <w:b/>
                <w:bCs/>
                <w:kern w:val="2"/>
                <w:sz w:val="32"/>
                <w:szCs w:val="32"/>
                <w:lang w:val="en-US" w:eastAsia="zh-CN" w:bidi="ar-SA"/>
              </w:rPr>
            </w:pPr>
            <w:r>
              <w:rPr>
                <w:rFonts w:hint="eastAsia" w:ascii="仿宋_GB2312" w:hAnsi="宋体" w:eastAsia="仿宋_GB2312" w:cs="仿宋_GB2312"/>
                <w:kern w:val="2"/>
                <w:sz w:val="32"/>
                <w:szCs w:val="32"/>
                <w:lang w:val="en-US" w:eastAsia="zh-CN"/>
              </w:rPr>
              <w:t>5</w:t>
            </w:r>
          </w:p>
        </w:tc>
      </w:tr>
    </w:tbl>
    <w:p>
      <w:pPr>
        <w:keepNext w:val="0"/>
        <w:keepLines w:val="0"/>
        <w:pageBreakBefore w:val="0"/>
        <w:widowControl w:val="0"/>
        <w:tabs>
          <w:tab w:val="left" w:pos="7513"/>
        </w:tabs>
        <w:kinsoku/>
        <w:wordWrap/>
        <w:overflowPunct/>
        <w:topLinePunct w:val="0"/>
        <w:bidi w:val="0"/>
        <w:adjustRightInd w:val="0"/>
        <w:snapToGrid w:val="0"/>
        <w:spacing w:line="700" w:lineRule="exact"/>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bidi w:val="0"/>
        <w:adjustRightInd w:val="0"/>
        <w:snapToGrid w:val="0"/>
        <w:spacing w:line="700" w:lineRule="exact"/>
        <w:ind w:firstLine="643" w:firstLineChars="200"/>
        <w:textAlignment w:val="auto"/>
        <w:rPr>
          <w:rFonts w:ascii="仿宋" w:hAnsi="仿宋" w:eastAsia="仿宋"/>
          <w:b/>
          <w:sz w:val="32"/>
          <w:szCs w:val="32"/>
        </w:rPr>
      </w:pPr>
      <w:r>
        <w:rPr>
          <w:rFonts w:hint="eastAsia" w:ascii="仿宋" w:hAnsi="仿宋" w:eastAsia="仿宋"/>
          <w:b/>
          <w:sz w:val="32"/>
          <w:szCs w:val="32"/>
        </w:rPr>
        <w:t>三、部门主要工作任务</w:t>
      </w:r>
    </w:p>
    <w:p>
      <w:pPr>
        <w:keepNext w:val="0"/>
        <w:keepLines w:val="0"/>
        <w:pageBreakBefore w:val="0"/>
        <w:widowControl w:val="0"/>
        <w:kinsoku/>
        <w:wordWrap/>
        <w:overflowPunct/>
        <w:topLinePunct w:val="0"/>
        <w:bidi w:val="0"/>
        <w:spacing w:line="700" w:lineRule="exact"/>
        <w:ind w:firstLine="640" w:firstLineChars="200"/>
        <w:textAlignment w:val="auto"/>
        <w:rPr>
          <w:rFonts w:hint="eastAsia" w:ascii="仿宋" w:hAnsi="仿宋" w:eastAsia="仿宋"/>
          <w:sz w:val="32"/>
          <w:szCs w:val="32"/>
        </w:rPr>
      </w:pPr>
      <w:r>
        <w:rPr>
          <w:rFonts w:hint="eastAsia" w:ascii="仿宋" w:hAnsi="仿宋" w:eastAsia="仿宋" w:cs="仿宋_GB2312"/>
          <w:sz w:val="32"/>
          <w:szCs w:val="32"/>
          <w:lang w:val="en-US" w:eastAsia="zh-CN"/>
        </w:rPr>
        <w:t>2020</w:t>
      </w:r>
      <w:r>
        <w:rPr>
          <w:rFonts w:hint="eastAsia" w:ascii="仿宋" w:hAnsi="仿宋" w:eastAsia="仿宋"/>
          <w:sz w:val="32"/>
          <w:szCs w:val="32"/>
        </w:rPr>
        <w:t>年，</w:t>
      </w:r>
      <w:r>
        <w:rPr>
          <w:rFonts w:hint="eastAsia" w:ascii="仿宋_GB2312" w:eastAsia="仿宋_GB2312" w:cs="仿宋_GB2312"/>
          <w:sz w:val="32"/>
          <w:szCs w:val="32"/>
        </w:rPr>
        <w:t>宁德市委编办的主要任务是：</w:t>
      </w:r>
      <w:r>
        <w:rPr>
          <w:rFonts w:hint="eastAsia" w:ascii="仿宋_GB2312" w:hAnsi="黑体" w:eastAsia="仿宋_GB2312"/>
          <w:sz w:val="32"/>
          <w:szCs w:val="32"/>
        </w:rPr>
        <w:t>高举习近平新时代中国特色社会主义思想伟大旗帜，认真贯彻落实党的十九大和十九届二中、三中、四中全会精神，提高政治站位，立足宁德实际，坚持开拓创新，</w:t>
      </w:r>
      <w:r>
        <w:rPr>
          <w:rFonts w:hint="eastAsia" w:ascii="仿宋_GB2312" w:hAnsi="黑体" w:eastAsia="仿宋_GB2312"/>
          <w:sz w:val="32"/>
          <w:szCs w:val="32"/>
          <w:lang w:eastAsia="zh-CN"/>
        </w:rPr>
        <w:t>全面巩固机构改革成果，统筹推进行政管理体制改革，</w:t>
      </w:r>
      <w:bookmarkStart w:id="1" w:name="_GoBack"/>
      <w:bookmarkEnd w:id="1"/>
      <w:r>
        <w:rPr>
          <w:rFonts w:hint="eastAsia" w:ascii="仿宋_GB2312" w:hAnsi="黑体" w:eastAsia="仿宋_GB2312"/>
          <w:sz w:val="32"/>
          <w:szCs w:val="32"/>
        </w:rPr>
        <w:t>持续推进事业单位改革，全面优化机构编制资源配置，全面提升事业单位登记管理水平，切实改进作风建设，为宁德高质量发展落实赶超、全面实施“一二三”发展战略提供坚实的体制机制保障。</w:t>
      </w:r>
      <w:r>
        <w:rPr>
          <w:rFonts w:hint="eastAsia" w:ascii="仿宋" w:hAnsi="仿宋" w:eastAsia="仿宋"/>
          <w:sz w:val="32"/>
          <w:szCs w:val="32"/>
        </w:rPr>
        <w:t>围绕上述任务，重点抓好以下工作：</w:t>
      </w:r>
    </w:p>
    <w:p>
      <w:pPr>
        <w:keepNext w:val="0"/>
        <w:keepLines w:val="0"/>
        <w:pageBreakBefore w:val="0"/>
        <w:widowControl w:val="0"/>
        <w:kinsoku/>
        <w:wordWrap/>
        <w:overflowPunct/>
        <w:topLinePunct w:val="0"/>
        <w:bidi w:val="0"/>
        <w:spacing w:line="700" w:lineRule="exact"/>
        <w:ind w:firstLine="640" w:firstLineChars="200"/>
        <w:textAlignment w:val="auto"/>
        <w:rPr>
          <w:rFonts w:hint="eastAsia" w:ascii="仿宋_GB2312" w:hAnsi="黑体" w:eastAsia="仿宋_GB2312"/>
          <w:sz w:val="32"/>
          <w:szCs w:val="32"/>
        </w:rPr>
      </w:pPr>
      <w:r>
        <w:rPr>
          <w:rFonts w:hint="eastAsia" w:ascii="楷体" w:hAnsi="楷体" w:eastAsia="楷体" w:cs="楷体"/>
          <w:sz w:val="32"/>
          <w:szCs w:val="32"/>
        </w:rPr>
        <w:t>（一）巩固深化机构改革成果。</w:t>
      </w:r>
      <w:r>
        <w:rPr>
          <w:rFonts w:hint="eastAsia" w:ascii="仿宋_GB2312" w:hAnsi="黑体" w:eastAsia="仿宋_GB2312"/>
          <w:sz w:val="32"/>
          <w:szCs w:val="32"/>
        </w:rPr>
        <w:t>加强对各部门职能、机构运行情况的跟踪了解，及时研究运行中存在的问题，对相关职责及机构编制事项作进一步优化。进一步规范市、县两级领导职数管理。</w:t>
      </w:r>
    </w:p>
    <w:p>
      <w:pPr>
        <w:keepNext w:val="0"/>
        <w:keepLines w:val="0"/>
        <w:pageBreakBefore w:val="0"/>
        <w:widowControl w:val="0"/>
        <w:kinsoku/>
        <w:wordWrap/>
        <w:overflowPunct/>
        <w:topLinePunct w:val="0"/>
        <w:bidi w:val="0"/>
        <w:spacing w:line="700" w:lineRule="exact"/>
        <w:ind w:firstLine="640" w:firstLineChars="200"/>
        <w:textAlignment w:val="auto"/>
        <w:rPr>
          <w:rFonts w:hint="eastAsia" w:ascii="仿宋_GB2312" w:hAnsi="黑体" w:eastAsia="仿宋_GB2312"/>
          <w:sz w:val="32"/>
          <w:szCs w:val="32"/>
        </w:rPr>
      </w:pPr>
      <w:r>
        <w:rPr>
          <w:rFonts w:hint="eastAsia" w:ascii="楷体" w:hAnsi="楷体" w:eastAsia="楷体" w:cs="楷体"/>
          <w:sz w:val="32"/>
          <w:szCs w:val="32"/>
        </w:rPr>
        <w:t>（二）推进行政管理体制改革工作。</w:t>
      </w:r>
      <w:r>
        <w:rPr>
          <w:rFonts w:hint="eastAsia" w:ascii="仿宋_GB2312" w:hAnsi="黑体" w:eastAsia="仿宋_GB2312"/>
          <w:sz w:val="32"/>
          <w:szCs w:val="32"/>
        </w:rPr>
        <w:t>根据省的部署，做好边防体制、森林公安体制等改革工作。继续规范议事协调机构设置和管理。进一步规范特殊区域机构编制管理，适时开展调研，提出意见。</w:t>
      </w:r>
    </w:p>
    <w:p>
      <w:pPr>
        <w:keepNext w:val="0"/>
        <w:keepLines w:val="0"/>
        <w:pageBreakBefore w:val="0"/>
        <w:widowControl w:val="0"/>
        <w:kinsoku/>
        <w:wordWrap/>
        <w:overflowPunct/>
        <w:topLinePunct w:val="0"/>
        <w:bidi w:val="0"/>
        <w:spacing w:line="700" w:lineRule="exact"/>
        <w:ind w:firstLine="640"/>
        <w:textAlignment w:val="auto"/>
        <w:rPr>
          <w:rFonts w:hint="eastAsia" w:ascii="仿宋_GB2312" w:hAnsi="黑体" w:eastAsia="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）持续深化事业单位改革工作。</w:t>
      </w:r>
      <w:r>
        <w:rPr>
          <w:rFonts w:hint="eastAsia" w:ascii="仿宋_GB2312" w:hAnsi="黑体" w:eastAsia="仿宋_GB2312"/>
          <w:sz w:val="32"/>
          <w:szCs w:val="32"/>
        </w:rPr>
        <w:t>全面完成生产经营类事业单位改革工作。进一步加大经营类事业单位改革力度，全面完成全市生产经营类事业单位改革工作。持续推进公益类事业单位改革工作。按照中央、省编办部署，坚持政事分开、事企分开、管办分开原则，强化公益属性。区分情况，精准施策，面向社会提供公益服务的事业单位，理顺同主管部门的关系，逐步推进管办分离，强化公益属性，破除逐利机制；主要为机关提供支持保障的事业单位，优化职能和人员结构，同机关统筹管理。</w:t>
      </w:r>
    </w:p>
    <w:p>
      <w:pPr>
        <w:keepNext w:val="0"/>
        <w:keepLines w:val="0"/>
        <w:pageBreakBefore w:val="0"/>
        <w:widowControl w:val="0"/>
        <w:kinsoku/>
        <w:wordWrap/>
        <w:overflowPunct/>
        <w:topLinePunct w:val="0"/>
        <w:bidi w:val="0"/>
        <w:spacing w:line="700" w:lineRule="exact"/>
        <w:ind w:firstLine="645"/>
        <w:textAlignment w:val="auto"/>
        <w:rPr>
          <w:rFonts w:hint="eastAsia" w:ascii="仿宋_GB2312" w:hAnsi="黑体" w:eastAsia="仿宋_GB2312"/>
          <w:sz w:val="32"/>
          <w:szCs w:val="32"/>
        </w:rPr>
      </w:pPr>
      <w:r>
        <w:rPr>
          <w:rFonts w:hint="eastAsia" w:ascii="楷体" w:hAnsi="楷体" w:eastAsia="楷体" w:cs="楷体"/>
          <w:sz w:val="32"/>
          <w:szCs w:val="32"/>
          <w:lang w:eastAsia="zh-CN"/>
        </w:rPr>
        <w:t>（四）深入深化综合执法改革。</w:t>
      </w:r>
      <w:r>
        <w:rPr>
          <w:rFonts w:hint="eastAsia" w:ascii="仿宋_GB2312" w:hAnsi="黑体" w:eastAsia="仿宋_GB2312"/>
          <w:sz w:val="32"/>
          <w:szCs w:val="32"/>
        </w:rPr>
        <w:t>按照中央、省编办部署，进一步深化5+1领域综合执法改革，做好人员转隶工作。同时加强对县综合执法改革相关问题的研究和指导。结合《乡镇机构改革指导方案》要求，加强对乡镇（街道）机构在规定的事业限额内，整合优化事业机构相关问题的指导。</w:t>
      </w:r>
    </w:p>
    <w:p>
      <w:pPr>
        <w:keepNext w:val="0"/>
        <w:keepLines w:val="0"/>
        <w:pageBreakBefore w:val="0"/>
        <w:widowControl w:val="0"/>
        <w:pBdr>
          <w:bottom w:val="single" w:color="FFFFFF" w:sz="4" w:space="31"/>
        </w:pBdr>
        <w:tabs>
          <w:tab w:val="left" w:pos="1440"/>
        </w:tabs>
        <w:kinsoku/>
        <w:wordWrap/>
        <w:overflowPunct/>
        <w:topLinePunct w:val="0"/>
        <w:bidi w:val="0"/>
        <w:spacing w:line="700" w:lineRule="exact"/>
        <w:ind w:firstLine="640" w:firstLineChars="200"/>
        <w:textAlignment w:val="auto"/>
        <w:rPr>
          <w:rFonts w:hint="eastAsia" w:ascii="仿宋" w:hAnsi="仿宋" w:eastAsia="仿宋"/>
          <w:sz w:val="32"/>
          <w:szCs w:val="32"/>
        </w:rPr>
      </w:pPr>
      <w:r>
        <w:rPr>
          <w:rFonts w:hint="eastAsia" w:ascii="楷体" w:hAnsi="楷体" w:eastAsia="楷体" w:cs="楷体"/>
          <w:sz w:val="32"/>
          <w:szCs w:val="32"/>
          <w:lang w:eastAsia="zh-CN"/>
        </w:rPr>
        <w:t>（五）统筹使用各类事业编制资源，保障公益事业发展需要。</w:t>
      </w:r>
      <w:r>
        <w:rPr>
          <w:rFonts w:hint="eastAsia" w:ascii="仿宋_GB2312" w:hAnsi="黑体" w:eastAsia="仿宋_GB2312"/>
          <w:sz w:val="32"/>
          <w:szCs w:val="32"/>
        </w:rPr>
        <w:t>在坚持严控总量前提下，积极统筹盘活用好现有各类事业编制存量，服务市委、市政府中心工作，进一步充实加强改革重点和民生保障方面力量。</w:t>
      </w:r>
    </w:p>
    <w:p>
      <w:pPr>
        <w:keepNext w:val="0"/>
        <w:keepLines w:val="0"/>
        <w:pageBreakBefore w:val="0"/>
        <w:widowControl w:val="0"/>
        <w:pBdr>
          <w:bottom w:val="single" w:color="FFFFFF" w:sz="4" w:space="31"/>
        </w:pBdr>
        <w:tabs>
          <w:tab w:val="left" w:pos="1440"/>
        </w:tabs>
        <w:kinsoku/>
        <w:wordWrap/>
        <w:overflowPunct/>
        <w:topLinePunct w:val="0"/>
        <w:bidi w:val="0"/>
        <w:spacing w:line="700" w:lineRule="exact"/>
        <w:ind w:firstLine="640" w:firstLineChars="200"/>
        <w:textAlignment w:val="auto"/>
        <w:rPr>
          <w:rFonts w:hint="eastAsia" w:ascii="仿宋_GB2312" w:hAnsi="黑体" w:eastAsia="仿宋_GB2312"/>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强化机构编制管理。</w:t>
      </w:r>
      <w:r>
        <w:rPr>
          <w:rFonts w:hint="eastAsia" w:ascii="仿宋_GB2312" w:hAnsi="黑体" w:eastAsia="仿宋_GB2312"/>
          <w:sz w:val="32"/>
          <w:szCs w:val="32"/>
        </w:rPr>
        <w:t>规范机构编制和领导职数管理，严控机构编制总量，优化机构编制资源配置。加强全市超编进人、超职数配备领导的监督检查。完善机构编制实名制管理，加强机构编制监督检查，科学有效组织实施机构编制事后监督。</w:t>
      </w:r>
    </w:p>
    <w:p>
      <w:pPr>
        <w:keepNext w:val="0"/>
        <w:keepLines w:val="0"/>
        <w:pageBreakBefore w:val="0"/>
        <w:widowControl w:val="0"/>
        <w:kinsoku/>
        <w:wordWrap/>
        <w:overflowPunct/>
        <w:topLinePunct w:val="0"/>
        <w:bidi w:val="0"/>
        <w:spacing w:line="700" w:lineRule="exact"/>
        <w:ind w:firstLine="640" w:firstLineChars="200"/>
        <w:textAlignment w:val="auto"/>
        <w:rPr>
          <w:rFonts w:hint="eastAsia" w:ascii="仿宋_GB2312" w:hAnsi="黑体" w:eastAsia="仿宋_GB2312"/>
          <w:sz w:val="32"/>
          <w:szCs w:val="32"/>
        </w:rPr>
      </w:pPr>
      <w:r>
        <w:rPr>
          <w:rFonts w:hint="eastAsia" w:ascii="楷体" w:hAnsi="楷体" w:eastAsia="楷体" w:cs="楷体"/>
          <w:sz w:val="32"/>
          <w:szCs w:val="32"/>
          <w:lang w:eastAsia="zh-CN"/>
        </w:rPr>
        <w:t>（六）持续抓好权责清单动态调工作。</w:t>
      </w:r>
      <w:r>
        <w:rPr>
          <w:rFonts w:hint="eastAsia" w:ascii="仿宋_GB2312" w:hAnsi="黑体" w:eastAsia="仿宋_GB2312"/>
          <w:sz w:val="32"/>
          <w:szCs w:val="32"/>
        </w:rPr>
        <w:t>因法律法规立、改、废、释及机构和职能调整情况等，督促指导市直部门做好权责事项的动态调整工作。督促指导县级扎实推进权责清单动态调整。</w:t>
      </w:r>
    </w:p>
    <w:p>
      <w:pPr>
        <w:keepNext w:val="0"/>
        <w:keepLines w:val="0"/>
        <w:pageBreakBefore w:val="0"/>
        <w:widowControl w:val="0"/>
        <w:kinsoku/>
        <w:wordWrap/>
        <w:overflowPunct/>
        <w:topLinePunct w:val="0"/>
        <w:bidi w:val="0"/>
        <w:spacing w:line="700" w:lineRule="exact"/>
        <w:ind w:firstLine="640" w:firstLineChars="200"/>
        <w:textAlignment w:val="auto"/>
        <w:rPr>
          <w:rFonts w:hint="eastAsia" w:ascii="仿宋_GB2312" w:hAnsi="黑体" w:eastAsia="仿宋_GB2312"/>
          <w:sz w:val="32"/>
          <w:szCs w:val="32"/>
        </w:rPr>
      </w:pPr>
      <w:r>
        <w:rPr>
          <w:rFonts w:hint="eastAsia" w:ascii="楷体" w:hAnsi="楷体" w:eastAsia="楷体" w:cs="楷体"/>
          <w:sz w:val="32"/>
          <w:szCs w:val="32"/>
          <w:lang w:eastAsia="zh-CN"/>
        </w:rPr>
        <w:t>（七）牵头做好行政执法事项清单梳理等工作。</w:t>
      </w:r>
      <w:r>
        <w:rPr>
          <w:rFonts w:hint="eastAsia" w:ascii="仿宋_GB2312" w:hAnsi="黑体" w:eastAsia="仿宋_GB2312"/>
          <w:sz w:val="32"/>
          <w:szCs w:val="32"/>
        </w:rPr>
        <w:t>根据省上部署，牵头推动市直部门做好行政执法事项清单梳理工作，指导推动县级行政执法事项清单梳理工作、乡镇一支队伍执法改革和乡镇综合执法权限下放清单编制工作, 将乡镇综合执法权限下放清单同乡镇机构改革相结合,逐步构建简约高效基层管理体制。</w:t>
      </w:r>
    </w:p>
    <w:p>
      <w:pPr>
        <w:keepNext w:val="0"/>
        <w:keepLines w:val="0"/>
        <w:pageBreakBefore w:val="0"/>
        <w:widowControl w:val="0"/>
        <w:pBdr>
          <w:bottom w:val="single" w:color="FFFFFF" w:sz="4" w:space="31"/>
        </w:pBdr>
        <w:tabs>
          <w:tab w:val="left" w:pos="1440"/>
        </w:tabs>
        <w:kinsoku/>
        <w:wordWrap/>
        <w:overflowPunct/>
        <w:topLinePunct w:val="0"/>
        <w:bidi w:val="0"/>
        <w:spacing w:line="700" w:lineRule="exact"/>
        <w:ind w:firstLine="640" w:firstLineChars="200"/>
        <w:textAlignment w:val="auto"/>
        <w:rPr>
          <w:rFonts w:hint="eastAsia" w:ascii="仿宋_GB2312" w:hAnsi="黑体" w:eastAsia="仿宋_GB2312"/>
          <w:sz w:val="32"/>
          <w:szCs w:val="32"/>
        </w:rPr>
      </w:pPr>
      <w:r>
        <w:rPr>
          <w:rFonts w:hint="eastAsia" w:ascii="楷体" w:hAnsi="楷体" w:eastAsia="楷体" w:cs="楷体"/>
          <w:sz w:val="32"/>
          <w:szCs w:val="32"/>
          <w:lang w:eastAsia="zh-CN"/>
        </w:rPr>
        <w:t>（八）</w:t>
      </w:r>
      <w:r>
        <w:rPr>
          <w:rFonts w:hint="eastAsia" w:ascii="楷体" w:hAnsi="楷体" w:eastAsia="楷体" w:cs="楷体"/>
          <w:sz w:val="32"/>
          <w:szCs w:val="32"/>
        </w:rPr>
        <w:t>继续做好事业单位设立、变更和注销工作。</w:t>
      </w:r>
      <w:r>
        <w:rPr>
          <w:rFonts w:hint="eastAsia" w:ascii="仿宋_GB2312" w:hAnsi="黑体" w:eastAsia="仿宋_GB2312"/>
          <w:sz w:val="32"/>
          <w:szCs w:val="32"/>
        </w:rPr>
        <w:t>完善机关群团统一社会信用代码的赋码工作和网上名称管理工作。开展事业单位法人公示信息“双随机”抽查工作。</w:t>
      </w:r>
    </w:p>
    <w:p>
      <w:pPr>
        <w:keepNext w:val="0"/>
        <w:keepLines w:val="0"/>
        <w:pageBreakBefore w:val="0"/>
        <w:widowControl w:val="0"/>
        <w:pBdr>
          <w:bottom w:val="single" w:color="FFFFFF" w:sz="4" w:space="31"/>
        </w:pBdr>
        <w:tabs>
          <w:tab w:val="left" w:pos="1440"/>
        </w:tabs>
        <w:kinsoku/>
        <w:wordWrap/>
        <w:overflowPunct/>
        <w:topLinePunct w:val="0"/>
        <w:bidi w:val="0"/>
        <w:spacing w:line="700" w:lineRule="exact"/>
        <w:ind w:firstLine="640" w:firstLineChars="200"/>
        <w:textAlignment w:val="auto"/>
        <w:rPr>
          <w:rFonts w:hint="eastAsia" w:ascii="仿宋_GB2312" w:hAnsi="黑体" w:eastAsia="仿宋_GB2312"/>
          <w:sz w:val="32"/>
          <w:szCs w:val="32"/>
        </w:rPr>
      </w:pPr>
    </w:p>
    <w:p>
      <w:pPr>
        <w:keepNext w:val="0"/>
        <w:keepLines w:val="0"/>
        <w:pageBreakBefore w:val="0"/>
        <w:widowControl w:val="0"/>
        <w:pBdr>
          <w:bottom w:val="single" w:color="FFFFFF" w:sz="4" w:space="31"/>
        </w:pBdr>
        <w:tabs>
          <w:tab w:val="left" w:pos="1440"/>
        </w:tabs>
        <w:kinsoku/>
        <w:wordWrap/>
        <w:overflowPunct/>
        <w:topLinePunct w:val="0"/>
        <w:bidi w:val="0"/>
        <w:spacing w:line="700" w:lineRule="exact"/>
        <w:ind w:firstLine="640" w:firstLineChars="200"/>
        <w:textAlignment w:val="auto"/>
        <w:rPr>
          <w:rFonts w:hint="eastAsia" w:ascii="仿宋_GB2312" w:hAnsi="黑体" w:eastAsia="仿宋_GB2312"/>
          <w:sz w:val="32"/>
          <w:szCs w:val="32"/>
        </w:rPr>
      </w:pPr>
    </w:p>
    <w:p>
      <w:pPr>
        <w:keepNext w:val="0"/>
        <w:keepLines w:val="0"/>
        <w:pageBreakBefore w:val="0"/>
        <w:widowControl w:val="0"/>
        <w:pBdr>
          <w:bottom w:val="single" w:color="FFFFFF" w:sz="4" w:space="31"/>
        </w:pBdr>
        <w:tabs>
          <w:tab w:val="left" w:pos="1440"/>
        </w:tabs>
        <w:kinsoku/>
        <w:wordWrap/>
        <w:overflowPunct/>
        <w:topLinePunct w:val="0"/>
        <w:bidi w:val="0"/>
        <w:spacing w:line="700" w:lineRule="exact"/>
        <w:ind w:firstLine="640" w:firstLineChars="200"/>
        <w:textAlignment w:val="auto"/>
        <w:rPr>
          <w:rFonts w:hint="eastAsia" w:ascii="仿宋_GB2312" w:hAnsi="黑体" w:eastAsia="仿宋_GB2312"/>
          <w:sz w:val="32"/>
          <w:szCs w:val="32"/>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第二部分</w:t>
      </w:r>
      <w:r>
        <w:rPr>
          <w:rFonts w:hint="eastAsia" w:ascii="黑体" w:hAnsi="黑体" w:eastAsia="黑体"/>
          <w:sz w:val="36"/>
          <w:szCs w:val="36"/>
          <w:lang w:val="en-US" w:eastAsia="zh-CN"/>
        </w:rPr>
        <w:t xml:space="preserve"> 2020</w:t>
      </w:r>
      <w:r>
        <w:rPr>
          <w:rFonts w:hint="eastAsia" w:ascii="黑体" w:hAnsi="黑体" w:eastAsia="黑体"/>
          <w:sz w:val="36"/>
          <w:szCs w:val="36"/>
          <w:lang w:eastAsia="zh-CN"/>
        </w:rPr>
        <w:t>年度部门预算表</w:t>
      </w:r>
    </w:p>
    <w:p>
      <w:pPr>
        <w:pStyle w:val="2"/>
        <w:rPr>
          <w:rFonts w:asciiTheme="majorEastAsia" w:hAnsiTheme="majorEastAsia" w:eastAsiaTheme="majorEastAsia"/>
          <w:sz w:val="36"/>
          <w:lang w:eastAsia="zh-CN"/>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一、收支预算总表</w:t>
      </w:r>
    </w:p>
    <w:p>
      <w:pPr>
        <w:tabs>
          <w:tab w:val="left" w:pos="7513"/>
        </w:tabs>
        <w:adjustRightInd w:val="0"/>
        <w:snapToGrid w:val="0"/>
        <w:spacing w:line="600" w:lineRule="exact"/>
        <w:rPr>
          <w:rFonts w:ascii="仿宋" w:hAnsi="仿宋" w:eastAsia="仿宋"/>
          <w:sz w:val="32"/>
          <w:szCs w:val="32"/>
        </w:rPr>
      </w:pPr>
    </w:p>
    <w:tbl>
      <w:tblPr>
        <w:tblStyle w:val="6"/>
        <w:tblW w:w="10340" w:type="dxa"/>
        <w:tblInd w:w="-1016" w:type="dxa"/>
        <w:tblLayout w:type="autofit"/>
        <w:tblCellMar>
          <w:top w:w="0" w:type="dxa"/>
          <w:left w:w="108" w:type="dxa"/>
          <w:bottom w:w="0" w:type="dxa"/>
          <w:right w:w="108" w:type="dxa"/>
        </w:tblCellMar>
      </w:tblPr>
      <w:tblGrid>
        <w:gridCol w:w="3580"/>
        <w:gridCol w:w="1820"/>
        <w:gridCol w:w="3160"/>
        <w:gridCol w:w="1780"/>
      </w:tblGrid>
      <w:tr>
        <w:tblPrEx>
          <w:tblCellMar>
            <w:top w:w="0" w:type="dxa"/>
            <w:left w:w="108" w:type="dxa"/>
            <w:bottom w:w="0" w:type="dxa"/>
            <w:right w:w="108" w:type="dxa"/>
          </w:tblCellMar>
        </w:tblPrEx>
        <w:trPr>
          <w:trHeight w:val="285" w:hRule="atLeast"/>
        </w:trPr>
        <w:tc>
          <w:tcPr>
            <w:tcW w:w="358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附表1</w:t>
            </w:r>
          </w:p>
        </w:tc>
        <w:tc>
          <w:tcPr>
            <w:tcW w:w="182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316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78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10340" w:type="dxa"/>
            <w:gridSpan w:val="4"/>
            <w:tcBorders>
              <w:top w:val="nil"/>
              <w:left w:val="nil"/>
              <w:bottom w:val="nil"/>
              <w:right w:val="nil"/>
            </w:tcBorders>
            <w:shd w:val="clear" w:color="auto" w:fill="auto"/>
            <w:noWrap/>
            <w:vAlign w:val="center"/>
          </w:tcPr>
          <w:p>
            <w:pPr>
              <w:widowControl/>
              <w:spacing w:line="240" w:lineRule="auto"/>
              <w:jc w:val="center"/>
              <w:rPr>
                <w:rFonts w:ascii="方正小标宋_GBK" w:hAnsi="宋体" w:eastAsia="方正小标宋_GBK" w:cs="宋体"/>
                <w:kern w:val="0"/>
                <w:sz w:val="32"/>
                <w:szCs w:val="32"/>
              </w:rPr>
            </w:pPr>
            <w:r>
              <w:rPr>
                <w:rFonts w:hint="eastAsia" w:ascii="方正小标宋_GBK" w:hAnsi="宋体" w:eastAsia="方正小标宋_GBK" w:cs="宋体"/>
                <w:kern w:val="0"/>
                <w:sz w:val="32"/>
                <w:szCs w:val="32"/>
                <w:lang w:val="en-US" w:eastAsia="zh-CN"/>
              </w:rPr>
              <w:t>2020</w:t>
            </w:r>
            <w:r>
              <w:rPr>
                <w:rFonts w:hint="eastAsia" w:ascii="方正小标宋_GBK" w:hAnsi="宋体" w:eastAsia="方正小标宋_GBK" w:cs="宋体"/>
                <w:kern w:val="0"/>
                <w:sz w:val="32"/>
                <w:szCs w:val="32"/>
              </w:rPr>
              <w:t>年度收支预算总表</w:t>
            </w:r>
          </w:p>
        </w:tc>
      </w:tr>
      <w:tr>
        <w:tblPrEx>
          <w:tblCellMar>
            <w:top w:w="0" w:type="dxa"/>
            <w:left w:w="108" w:type="dxa"/>
            <w:bottom w:w="0" w:type="dxa"/>
            <w:right w:w="108" w:type="dxa"/>
          </w:tblCellMar>
        </w:tblPrEx>
        <w:trPr>
          <w:trHeight w:val="285" w:hRule="atLeast"/>
        </w:trPr>
        <w:tc>
          <w:tcPr>
            <w:tcW w:w="358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82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316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7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单位：万元</w:t>
            </w:r>
          </w:p>
        </w:tc>
      </w:tr>
      <w:tr>
        <w:tblPrEx>
          <w:tblCellMar>
            <w:top w:w="0" w:type="dxa"/>
            <w:left w:w="108" w:type="dxa"/>
            <w:bottom w:w="0" w:type="dxa"/>
            <w:right w:w="108" w:type="dxa"/>
          </w:tblCellMar>
        </w:tblPrEx>
        <w:trPr>
          <w:trHeight w:val="402" w:hRule="atLeast"/>
        </w:trPr>
        <w:tc>
          <w:tcPr>
            <w:tcW w:w="3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    入</w:t>
            </w:r>
          </w:p>
        </w:tc>
        <w:tc>
          <w:tcPr>
            <w:tcW w:w="18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kern w:val="0"/>
                <w:sz w:val="22"/>
              </w:rPr>
            </w:pPr>
            <w:r>
              <w:rPr>
                <w:rFonts w:hint="eastAsia" w:ascii="宋体" w:hAnsi="宋体" w:eastAsia="宋体" w:cs="宋体"/>
                <w:b/>
                <w:bCs/>
                <w:kern w:val="0"/>
                <w:sz w:val="22"/>
              </w:rPr>
              <w:t>　</w:t>
            </w:r>
          </w:p>
        </w:tc>
        <w:tc>
          <w:tcPr>
            <w:tcW w:w="31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    出</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收入项目类别</w:t>
            </w:r>
          </w:p>
        </w:tc>
        <w:tc>
          <w:tcPr>
            <w:tcW w:w="18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支出项目类别</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35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一、一般公共预算拨款</w:t>
            </w:r>
          </w:p>
        </w:tc>
        <w:tc>
          <w:tcPr>
            <w:tcW w:w="182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311.14</w:t>
            </w:r>
            <w:r>
              <w:rPr>
                <w:rFonts w:hint="eastAsia" w:ascii="宋体" w:hAnsi="宋体" w:eastAsia="宋体" w:cs="宋体"/>
                <w:kern w:val="0"/>
                <w:sz w:val="22"/>
              </w:rPr>
              <w:t>　</w:t>
            </w:r>
          </w:p>
        </w:tc>
        <w:tc>
          <w:tcPr>
            <w:tcW w:w="31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一、基本支出</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255.13</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二、基金预算财政拨款</w:t>
            </w:r>
          </w:p>
        </w:tc>
        <w:tc>
          <w:tcPr>
            <w:tcW w:w="182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1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人员支出</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218.28</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三、财政专户拨款</w:t>
            </w:r>
          </w:p>
        </w:tc>
        <w:tc>
          <w:tcPr>
            <w:tcW w:w="182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1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对个人和家庭补助支出</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0.36</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四、单位其他收入</w:t>
            </w:r>
          </w:p>
        </w:tc>
        <w:tc>
          <w:tcPr>
            <w:tcW w:w="182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1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公用支出</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36.49</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五、单位结余结转资金</w:t>
            </w:r>
          </w:p>
        </w:tc>
        <w:tc>
          <w:tcPr>
            <w:tcW w:w="182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1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二、项目支出</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56.01</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收入合计</w:t>
            </w:r>
          </w:p>
        </w:tc>
        <w:tc>
          <w:tcPr>
            <w:tcW w:w="182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311.14</w:t>
            </w:r>
            <w:r>
              <w:rPr>
                <w:rFonts w:hint="eastAsia" w:ascii="宋体" w:hAnsi="宋体" w:eastAsia="宋体" w:cs="宋体"/>
                <w:kern w:val="0"/>
                <w:sz w:val="22"/>
              </w:rPr>
              <w:t>　</w:t>
            </w:r>
          </w:p>
        </w:tc>
        <w:tc>
          <w:tcPr>
            <w:tcW w:w="31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支出合计</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311.14</w:t>
            </w:r>
            <w:r>
              <w:rPr>
                <w:rFonts w:hint="eastAsia" w:ascii="宋体" w:hAnsi="宋体" w:eastAsia="宋体" w:cs="宋体"/>
                <w:kern w:val="0"/>
                <w:sz w:val="22"/>
              </w:rPr>
              <w:t>　</w:t>
            </w:r>
          </w:p>
        </w:tc>
      </w:tr>
    </w:tbl>
    <w:p>
      <w:pPr>
        <w:tabs>
          <w:tab w:val="left" w:pos="7513"/>
        </w:tabs>
        <w:adjustRightInd w:val="0"/>
        <w:snapToGrid w:val="0"/>
        <w:spacing w:line="600" w:lineRule="exact"/>
        <w:rPr>
          <w:rFonts w:ascii="仿宋" w:hAnsi="仿宋" w:eastAsia="仿宋"/>
          <w:sz w:val="32"/>
          <w:szCs w:val="32"/>
        </w:rPr>
      </w:pPr>
      <w:r>
        <w:rPr>
          <w:rFonts w:hint="eastAsia" w:cs="Times New Roman" w:asciiTheme="majorEastAsia" w:hAnsiTheme="majorEastAsia" w:eastAsiaTheme="majorEastAsia"/>
          <w:kern w:val="0"/>
          <w:sz w:val="36"/>
          <w:szCs w:val="20"/>
        </w:rPr>
        <w:t>（</w:t>
      </w:r>
      <w:r>
        <w:rPr>
          <w:rFonts w:hint="eastAsia" w:ascii="楷体" w:hAnsi="楷体" w:eastAsia="楷体"/>
          <w:sz w:val="32"/>
          <w:szCs w:val="32"/>
        </w:rPr>
        <w:t>注：部门预算信息公开报表由财政一体化系统导出，下同</w:t>
      </w:r>
      <w:r>
        <w:rPr>
          <w:rFonts w:hint="eastAsia" w:ascii="仿宋" w:hAnsi="仿宋" w:eastAsia="仿宋"/>
          <w:sz w:val="32"/>
          <w:szCs w:val="32"/>
        </w:rPr>
        <w:t>）</w:t>
      </w:r>
    </w:p>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二、收入预算总表</w:t>
      </w:r>
    </w:p>
    <w:p>
      <w:pPr>
        <w:tabs>
          <w:tab w:val="left" w:pos="7513"/>
        </w:tabs>
        <w:adjustRightInd w:val="0"/>
        <w:snapToGrid w:val="0"/>
        <w:spacing w:line="600" w:lineRule="exact"/>
        <w:rPr>
          <w:rFonts w:ascii="仿宋" w:hAnsi="仿宋" w:eastAsia="仿宋"/>
          <w:sz w:val="32"/>
          <w:szCs w:val="32"/>
        </w:rPr>
      </w:pPr>
    </w:p>
    <w:tbl>
      <w:tblPr>
        <w:tblStyle w:val="6"/>
        <w:tblpPr w:leftFromText="180" w:rightFromText="180" w:vertAnchor="text" w:horzAnchor="margin" w:tblpXSpec="center" w:tblpY="270"/>
        <w:tblW w:w="10636" w:type="dxa"/>
        <w:tblInd w:w="0" w:type="dxa"/>
        <w:tblLayout w:type="autofit"/>
        <w:tblCellMar>
          <w:top w:w="0" w:type="dxa"/>
          <w:left w:w="108" w:type="dxa"/>
          <w:bottom w:w="0" w:type="dxa"/>
          <w:right w:w="108" w:type="dxa"/>
        </w:tblCellMar>
      </w:tblPr>
      <w:tblGrid>
        <w:gridCol w:w="1536"/>
        <w:gridCol w:w="2200"/>
        <w:gridCol w:w="1200"/>
        <w:gridCol w:w="1140"/>
        <w:gridCol w:w="1140"/>
        <w:gridCol w:w="1140"/>
        <w:gridCol w:w="1140"/>
        <w:gridCol w:w="1140"/>
      </w:tblGrid>
      <w:tr>
        <w:tblPrEx>
          <w:tblCellMar>
            <w:top w:w="0" w:type="dxa"/>
            <w:left w:w="108" w:type="dxa"/>
            <w:bottom w:w="0" w:type="dxa"/>
            <w:right w:w="108" w:type="dxa"/>
          </w:tblCellMar>
        </w:tblPrEx>
        <w:trPr>
          <w:trHeight w:val="285" w:hRule="atLeast"/>
        </w:trPr>
        <w:tc>
          <w:tcPr>
            <w:tcW w:w="153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附表2</w:t>
            </w:r>
          </w:p>
        </w:tc>
        <w:tc>
          <w:tcPr>
            <w:tcW w:w="2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0"/>
                <w:szCs w:val="20"/>
              </w:rPr>
            </w:pPr>
          </w:p>
        </w:tc>
        <w:tc>
          <w:tcPr>
            <w:tcW w:w="1200" w:type="dxa"/>
            <w:tcBorders>
              <w:top w:val="nil"/>
              <w:left w:val="nil"/>
              <w:bottom w:val="nil"/>
              <w:right w:val="nil"/>
            </w:tcBorders>
            <w:shd w:val="clear" w:color="auto" w:fill="auto"/>
            <w:noWrap/>
            <w:vAlign w:val="center"/>
          </w:tcPr>
          <w:p>
            <w:pPr>
              <w:widowControl/>
              <w:spacing w:line="240" w:lineRule="auto"/>
              <w:jc w:val="center"/>
              <w:rPr>
                <w:rFonts w:ascii="宋体" w:hAnsi="宋体" w:eastAsia="宋体" w:cs="宋体"/>
                <w:kern w:val="0"/>
                <w:sz w:val="20"/>
                <w:szCs w:val="20"/>
              </w:rPr>
            </w:pPr>
          </w:p>
        </w:tc>
        <w:tc>
          <w:tcPr>
            <w:tcW w:w="1140" w:type="dxa"/>
            <w:tcBorders>
              <w:top w:val="nil"/>
              <w:left w:val="nil"/>
              <w:bottom w:val="nil"/>
              <w:right w:val="nil"/>
            </w:tcBorders>
            <w:shd w:val="clear" w:color="auto" w:fill="auto"/>
            <w:vAlign w:val="center"/>
          </w:tcPr>
          <w:p>
            <w:pPr>
              <w:widowControl/>
              <w:spacing w:line="240" w:lineRule="auto"/>
              <w:jc w:val="center"/>
              <w:rPr>
                <w:rFonts w:ascii="宋体" w:hAnsi="宋体" w:eastAsia="宋体" w:cs="宋体"/>
                <w:kern w:val="0"/>
                <w:sz w:val="20"/>
                <w:szCs w:val="20"/>
              </w:rPr>
            </w:pPr>
          </w:p>
        </w:tc>
        <w:tc>
          <w:tcPr>
            <w:tcW w:w="1140" w:type="dxa"/>
            <w:tcBorders>
              <w:top w:val="nil"/>
              <w:left w:val="nil"/>
              <w:bottom w:val="nil"/>
              <w:right w:val="nil"/>
            </w:tcBorders>
            <w:shd w:val="clear" w:color="auto" w:fill="auto"/>
            <w:vAlign w:val="center"/>
          </w:tcPr>
          <w:p>
            <w:pPr>
              <w:widowControl/>
              <w:spacing w:line="240" w:lineRule="auto"/>
              <w:jc w:val="center"/>
              <w:rPr>
                <w:rFonts w:ascii="宋体" w:hAnsi="宋体" w:eastAsia="宋体" w:cs="宋体"/>
                <w:kern w:val="0"/>
                <w:sz w:val="20"/>
                <w:szCs w:val="20"/>
              </w:rPr>
            </w:pPr>
          </w:p>
        </w:tc>
        <w:tc>
          <w:tcPr>
            <w:tcW w:w="1140" w:type="dxa"/>
            <w:tcBorders>
              <w:top w:val="nil"/>
              <w:left w:val="nil"/>
              <w:bottom w:val="nil"/>
              <w:right w:val="nil"/>
            </w:tcBorders>
            <w:shd w:val="clear" w:color="auto" w:fill="auto"/>
            <w:noWrap/>
            <w:vAlign w:val="center"/>
          </w:tcPr>
          <w:p>
            <w:pPr>
              <w:widowControl/>
              <w:spacing w:line="240" w:lineRule="auto"/>
              <w:jc w:val="center"/>
              <w:rPr>
                <w:rFonts w:ascii="宋体" w:hAnsi="宋体" w:eastAsia="宋体" w:cs="宋体"/>
                <w:kern w:val="0"/>
                <w:sz w:val="20"/>
                <w:szCs w:val="20"/>
              </w:rPr>
            </w:pPr>
          </w:p>
        </w:tc>
        <w:tc>
          <w:tcPr>
            <w:tcW w:w="1140" w:type="dxa"/>
            <w:tcBorders>
              <w:top w:val="nil"/>
              <w:left w:val="nil"/>
              <w:bottom w:val="nil"/>
              <w:right w:val="nil"/>
            </w:tcBorders>
            <w:shd w:val="clear" w:color="auto" w:fill="auto"/>
            <w:noWrap/>
            <w:vAlign w:val="center"/>
          </w:tcPr>
          <w:p>
            <w:pPr>
              <w:widowControl/>
              <w:spacing w:line="240" w:lineRule="auto"/>
              <w:jc w:val="center"/>
              <w:rPr>
                <w:rFonts w:ascii="宋体" w:hAnsi="宋体" w:eastAsia="宋体" w:cs="宋体"/>
                <w:kern w:val="0"/>
                <w:sz w:val="20"/>
                <w:szCs w:val="20"/>
              </w:rPr>
            </w:pPr>
          </w:p>
        </w:tc>
        <w:tc>
          <w:tcPr>
            <w:tcW w:w="1140" w:type="dxa"/>
            <w:tcBorders>
              <w:top w:val="nil"/>
              <w:left w:val="nil"/>
              <w:bottom w:val="nil"/>
              <w:right w:val="nil"/>
            </w:tcBorders>
            <w:shd w:val="clear" w:color="auto" w:fill="auto"/>
            <w:noWrap/>
            <w:vAlign w:val="center"/>
          </w:tcPr>
          <w:p>
            <w:pPr>
              <w:widowControl/>
              <w:spacing w:line="240" w:lineRule="auto"/>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582" w:hRule="atLeast"/>
        </w:trPr>
        <w:tc>
          <w:tcPr>
            <w:tcW w:w="10636" w:type="dxa"/>
            <w:gridSpan w:val="8"/>
            <w:tcBorders>
              <w:top w:val="nil"/>
              <w:left w:val="nil"/>
              <w:bottom w:val="nil"/>
              <w:right w:val="nil"/>
            </w:tcBorders>
            <w:shd w:val="clear" w:color="auto" w:fill="auto"/>
            <w:vAlign w:val="center"/>
          </w:tcPr>
          <w:p>
            <w:pPr>
              <w:widowControl/>
              <w:spacing w:line="240" w:lineRule="auto"/>
              <w:jc w:val="center"/>
              <w:rPr>
                <w:rFonts w:ascii="方正小标宋_GBK" w:hAnsi="宋体" w:eastAsia="方正小标宋_GBK" w:cs="宋体"/>
                <w:kern w:val="0"/>
                <w:sz w:val="32"/>
                <w:szCs w:val="32"/>
              </w:rPr>
            </w:pPr>
            <w:r>
              <w:rPr>
                <w:rFonts w:hint="eastAsia" w:ascii="方正小标宋_GBK" w:hAnsi="宋体" w:eastAsia="方正小标宋_GBK" w:cs="宋体"/>
                <w:kern w:val="0"/>
                <w:sz w:val="32"/>
                <w:szCs w:val="32"/>
                <w:lang w:val="en-US" w:eastAsia="zh-CN"/>
              </w:rPr>
              <w:t>2020</w:t>
            </w:r>
            <w:r>
              <w:rPr>
                <w:rFonts w:hint="eastAsia" w:ascii="方正小标宋_GBK" w:hAnsi="宋体" w:eastAsia="方正小标宋_GBK"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53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2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40" w:type="dxa"/>
            <w:tcBorders>
              <w:top w:val="nil"/>
              <w:left w:val="nil"/>
              <w:bottom w:val="nil"/>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40" w:type="dxa"/>
            <w:tcBorders>
              <w:top w:val="nil"/>
              <w:left w:val="nil"/>
              <w:bottom w:val="nil"/>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40" w:type="dxa"/>
            <w:tcBorders>
              <w:top w:val="nil"/>
              <w:left w:val="nil"/>
              <w:bottom w:val="nil"/>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2280" w:type="dxa"/>
            <w:gridSpan w:val="2"/>
            <w:tcBorders>
              <w:top w:val="nil"/>
              <w:left w:val="nil"/>
              <w:bottom w:val="single" w:color="auto" w:sz="4" w:space="0"/>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285" w:hRule="atLeast"/>
        </w:trPr>
        <w:tc>
          <w:tcPr>
            <w:tcW w:w="15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单位编码</w:t>
            </w:r>
          </w:p>
        </w:tc>
        <w:tc>
          <w:tcPr>
            <w:tcW w:w="2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单位名称</w:t>
            </w:r>
          </w:p>
        </w:tc>
        <w:tc>
          <w:tcPr>
            <w:tcW w:w="690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资金来源</w:t>
            </w:r>
          </w:p>
        </w:tc>
      </w:tr>
      <w:tr>
        <w:tblPrEx>
          <w:tblCellMar>
            <w:top w:w="0" w:type="dxa"/>
            <w:left w:w="108" w:type="dxa"/>
            <w:bottom w:w="0" w:type="dxa"/>
            <w:right w:w="108" w:type="dxa"/>
          </w:tblCellMar>
        </w:tblPrEx>
        <w:trPr>
          <w:trHeight w:val="1200" w:hRule="atLeast"/>
        </w:trPr>
        <w:tc>
          <w:tcPr>
            <w:tcW w:w="15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基金预算拨款</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财政专户拨款</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单位结余结转资金</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单位其它收入</w:t>
            </w:r>
          </w:p>
        </w:tc>
      </w:tr>
      <w:tr>
        <w:tblPrEx>
          <w:tblCellMar>
            <w:top w:w="0" w:type="dxa"/>
            <w:left w:w="108" w:type="dxa"/>
            <w:bottom w:w="0" w:type="dxa"/>
            <w:right w:w="108" w:type="dxa"/>
          </w:tblCellMar>
        </w:tblPrEx>
        <w:trPr>
          <w:trHeight w:val="402" w:hRule="atLeast"/>
        </w:trPr>
        <w:tc>
          <w:tcPr>
            <w:tcW w:w="153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w:t>
            </w:r>
          </w:p>
        </w:tc>
        <w:tc>
          <w:tcPr>
            <w:tcW w:w="22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2</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5</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0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tabs>
                <w:tab w:val="left" w:pos="578"/>
              </w:tabs>
              <w:spacing w:line="240" w:lineRule="auto"/>
              <w:jc w:val="left"/>
              <w:rPr>
                <w:rFonts w:hint="eastAsia" w:ascii="宋体" w:hAnsi="宋体" w:eastAsia="宋体" w:cs="宋体"/>
                <w:kern w:val="0"/>
                <w:sz w:val="22"/>
                <w:lang w:eastAsia="zh-CN"/>
              </w:rPr>
            </w:pPr>
          </w:p>
        </w:tc>
        <w:tc>
          <w:tcPr>
            <w:tcW w:w="22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eastAsia="zh-CN"/>
              </w:rPr>
              <w:t>合计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lang w:val="en-US" w:eastAsia="zh-CN"/>
              </w:rPr>
              <w:t>311.14</w:t>
            </w:r>
            <w:r>
              <w:rPr>
                <w:rFonts w:hint="eastAsia" w:ascii="宋体" w:hAnsi="宋体" w:eastAsia="宋体" w:cs="宋体"/>
                <w:kern w:val="0"/>
                <w:sz w:val="22"/>
              </w:rPr>
              <w:t>　</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311.14</w:t>
            </w:r>
            <w:r>
              <w:rPr>
                <w:rFonts w:hint="eastAsia" w:ascii="宋体" w:hAnsi="宋体" w:eastAsia="宋体" w:cs="宋体"/>
                <w:kern w:val="0"/>
                <w:sz w:val="22"/>
              </w:rPr>
              <w:t>　</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　</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　</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　</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536" w:type="dxa"/>
            <w:tcBorders>
              <w:top w:val="nil"/>
              <w:left w:val="single" w:color="auto" w:sz="4" w:space="0"/>
              <w:bottom w:val="single" w:color="auto" w:sz="4" w:space="0"/>
              <w:right w:val="single" w:color="auto" w:sz="4" w:space="0"/>
            </w:tcBorders>
            <w:shd w:val="clear" w:color="auto" w:fill="auto"/>
            <w:vAlign w:val="center"/>
          </w:tcPr>
          <w:p>
            <w:pPr>
              <w:widowControl/>
              <w:tabs>
                <w:tab w:val="left" w:pos="578"/>
              </w:tabs>
              <w:spacing w:line="240" w:lineRule="auto"/>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eastAsia="zh-CN"/>
              </w:rPr>
              <w:t>901001029001</w:t>
            </w:r>
          </w:p>
        </w:tc>
        <w:tc>
          <w:tcPr>
            <w:tcW w:w="22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szCs w:val="22"/>
                <w:lang w:val="en-US" w:eastAsia="zh-CN" w:bidi="ar-SA"/>
              </w:rPr>
            </w:pPr>
            <w:r>
              <w:rPr>
                <w:rFonts w:hint="eastAsia" w:ascii="宋体" w:hAnsi="宋体" w:eastAsia="宋体" w:cs="宋体"/>
                <w:kern w:val="0"/>
                <w:sz w:val="22"/>
              </w:rPr>
              <w:t>　中共宁德市委机构编制委员会办公室本级</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250.89</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250.89</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　</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　</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　</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53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szCs w:val="22"/>
                <w:lang w:val="en-US" w:eastAsia="zh-CN" w:bidi="ar-SA"/>
              </w:rPr>
            </w:pPr>
            <w:r>
              <w:rPr>
                <w:rFonts w:hint="eastAsia" w:ascii="宋体" w:hAnsi="宋体" w:eastAsia="宋体" w:cs="宋体"/>
                <w:kern w:val="0"/>
                <w:sz w:val="22"/>
              </w:rPr>
              <w:t>　901001029002</w:t>
            </w:r>
          </w:p>
        </w:tc>
        <w:tc>
          <w:tcPr>
            <w:tcW w:w="220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szCs w:val="22"/>
                <w:lang w:val="en-US" w:eastAsia="zh-CN" w:bidi="ar-SA"/>
              </w:rPr>
            </w:pPr>
            <w:r>
              <w:rPr>
                <w:rFonts w:hint="eastAsia" w:ascii="宋体" w:hAnsi="宋体" w:eastAsia="宋体" w:cs="宋体"/>
                <w:kern w:val="0"/>
                <w:sz w:val="22"/>
              </w:rPr>
              <w:t>　宁德市事业单位登记管理局</w:t>
            </w:r>
          </w:p>
        </w:tc>
        <w:tc>
          <w:tcPr>
            <w:tcW w:w="12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60.25</w:t>
            </w: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60.25</w:t>
            </w: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hint="eastAsia" w:ascii="仿宋" w:hAnsi="仿宋" w:eastAsia="仿宋"/>
          <w:sz w:val="32"/>
          <w:szCs w:val="32"/>
        </w:rPr>
      </w:pPr>
      <w:r>
        <w:rPr>
          <w:rFonts w:hint="eastAsia" w:ascii="仿宋" w:hAnsi="仿宋" w:eastAsia="仿宋"/>
          <w:sz w:val="32"/>
          <w:szCs w:val="32"/>
        </w:rPr>
        <w:t>三、支出预算总表</w:t>
      </w:r>
    </w:p>
    <w:tbl>
      <w:tblPr>
        <w:tblStyle w:val="6"/>
        <w:tblpPr w:leftFromText="180" w:rightFromText="180" w:vertAnchor="text" w:horzAnchor="page" w:tblpX="14" w:tblpY="1812"/>
        <w:tblOverlap w:val="never"/>
        <w:tblW w:w="23985" w:type="dxa"/>
        <w:tblInd w:w="0" w:type="dxa"/>
        <w:shd w:val="clear" w:color="auto" w:fill="auto"/>
        <w:tblLayout w:type="fixed"/>
        <w:tblCellMar>
          <w:top w:w="0" w:type="dxa"/>
          <w:left w:w="0" w:type="dxa"/>
          <w:bottom w:w="0" w:type="dxa"/>
          <w:right w:w="0" w:type="dxa"/>
        </w:tblCellMar>
      </w:tblPr>
      <w:tblGrid>
        <w:gridCol w:w="837"/>
        <w:gridCol w:w="1259"/>
        <w:gridCol w:w="837"/>
        <w:gridCol w:w="837"/>
        <w:gridCol w:w="837"/>
        <w:gridCol w:w="837"/>
        <w:gridCol w:w="837"/>
        <w:gridCol w:w="837"/>
        <w:gridCol w:w="837"/>
        <w:gridCol w:w="837"/>
        <w:gridCol w:w="837"/>
        <w:gridCol w:w="837"/>
        <w:gridCol w:w="837"/>
        <w:gridCol w:w="837"/>
        <w:gridCol w:w="11845"/>
      </w:tblGrid>
      <w:tr>
        <w:tblPrEx>
          <w:shd w:val="clear" w:color="auto" w:fill="auto"/>
          <w:tblCellMar>
            <w:top w:w="0" w:type="dxa"/>
            <w:left w:w="0" w:type="dxa"/>
            <w:bottom w:w="0" w:type="dxa"/>
            <w:right w:w="0" w:type="dxa"/>
          </w:tblCellMar>
        </w:tblPrEx>
        <w:trPr>
          <w:trHeight w:val="480" w:hRule="atLeast"/>
        </w:trPr>
        <w:tc>
          <w:tcPr>
            <w:tcW w:w="12140" w:type="dxa"/>
            <w:gridSpan w:val="1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2020年度支出预算总表</w:t>
            </w:r>
          </w:p>
        </w:tc>
        <w:tc>
          <w:tcPr>
            <w:tcW w:w="11845"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44"/>
                <w:szCs w:val="44"/>
                <w:u w:val="none"/>
              </w:rPr>
            </w:pPr>
          </w:p>
        </w:tc>
      </w:tr>
      <w:tr>
        <w:tblPrEx>
          <w:tblCellMar>
            <w:top w:w="0" w:type="dxa"/>
            <w:left w:w="0" w:type="dxa"/>
            <w:bottom w:w="0" w:type="dxa"/>
            <w:right w:w="0" w:type="dxa"/>
          </w:tblCellMar>
        </w:tblPrEx>
        <w:trPr>
          <w:trHeight w:val="420" w:hRule="atLeast"/>
        </w:trPr>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5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8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315" w:hRule="atLeast"/>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单位编码</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w:t>
            </w:r>
          </w:p>
        </w:tc>
        <w:tc>
          <w:tcPr>
            <w:tcW w:w="837"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837"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837"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8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人员支出</w:t>
            </w:r>
          </w:p>
        </w:tc>
        <w:tc>
          <w:tcPr>
            <w:tcW w:w="8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对个人和家庭补助支出</w:t>
            </w:r>
          </w:p>
        </w:tc>
        <w:tc>
          <w:tcPr>
            <w:tcW w:w="8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公用支出</w:t>
            </w:r>
          </w:p>
        </w:tc>
        <w:tc>
          <w:tcPr>
            <w:tcW w:w="837"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资金来源</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70" w:hRule="atLeast"/>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一般公共预算拨款</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政府性基金拨款</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财政专户拨款</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单位其他收入</w:t>
            </w:r>
          </w:p>
        </w:tc>
        <w:tc>
          <w:tcPr>
            <w:tcW w:w="1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单位结余结转资金</w:t>
            </w:r>
          </w:p>
        </w:tc>
      </w:tr>
      <w:tr>
        <w:tblPrEx>
          <w:tblCellMar>
            <w:top w:w="0" w:type="dxa"/>
            <w:left w:w="0" w:type="dxa"/>
            <w:bottom w:w="0" w:type="dxa"/>
            <w:right w:w="0" w:type="dxa"/>
          </w:tblCellMar>
        </w:tblPrEx>
        <w:trPr>
          <w:trHeight w:val="34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37"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37"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37"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311.14</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218.28</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36.49</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56.01</w:t>
            </w: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311.14</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311.14</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901001029001</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中共宁德市委机构编制委员会办公室本级</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2013101</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行政运行（党委办公厅（室）及相关机构事务）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150.09</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122.74</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27.35</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150.09</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150.09</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901001029001</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中共宁德市委机构编制委员会办公室本级</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2013105</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专项业务（党委办公厅（室）及相关机构事务）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53.01</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53.01</w:t>
            </w: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901001029001</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中共宁德市委机构编制委员会办公室本级</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2013199</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其他党委办公厅（室）及相关机构事务支出</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901001029001</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中共宁德市委机构编制委员会办公室本级</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0.14</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901001029001</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中共宁德市委机构编制委员会办公室本级</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19.13</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19.13</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19.13</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19.13</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901001029001</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中共宁德市委机构编制委员会办公室本级</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901001029001</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中共宁德市委机构编制委员会办公室本级</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901001029001</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中共宁德市委机构编制委员会办公室本级</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13.72</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13.72</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13.72</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13.72</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901001029002</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宁德市事业单位登记管理局</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2013101</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行政运行（党委办公厅（室）及相关机构事务）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46.65</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37.69</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8.96</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46.65</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46.65</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901001029002</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宁德市事业单位登记管理局</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901001029002</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宁德市事业单位登记管理局</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5.86</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5.86</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5.86</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5.86</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901001029002</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宁德市事业单位登记管理局</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901001029002</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宁德市事业单位登记管理局</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901001029002</w:t>
            </w:r>
          </w:p>
        </w:tc>
        <w:tc>
          <w:tcPr>
            <w:tcW w:w="12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宁德市事业单位登记管理局</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w:t>
            </w:r>
          </w:p>
        </w:tc>
        <w:tc>
          <w:tcPr>
            <w:tcW w:w="83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w:t>
            </w: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numPr>
          <w:ilvl w:val="0"/>
          <w:numId w:val="1"/>
        </w:numPr>
        <w:tabs>
          <w:tab w:val="left" w:pos="7513"/>
        </w:tabs>
        <w:adjustRightInd w:val="0"/>
        <w:snapToGrid w:val="0"/>
        <w:spacing w:line="600" w:lineRule="exact"/>
        <w:rPr>
          <w:rFonts w:hint="eastAsia" w:ascii="仿宋" w:hAnsi="仿宋" w:eastAsia="仿宋"/>
          <w:sz w:val="32"/>
          <w:szCs w:val="32"/>
        </w:rPr>
      </w:pPr>
      <w:r>
        <w:rPr>
          <w:rFonts w:hint="eastAsia" w:ascii="仿宋" w:hAnsi="仿宋" w:eastAsia="仿宋"/>
          <w:sz w:val="32"/>
          <w:szCs w:val="32"/>
        </w:rPr>
        <w:t>财政拨款收支预算总表</w:t>
      </w:r>
    </w:p>
    <w:tbl>
      <w:tblPr>
        <w:tblStyle w:val="6"/>
        <w:tblW w:w="9945" w:type="dxa"/>
        <w:tblInd w:w="0" w:type="dxa"/>
        <w:shd w:val="clear" w:color="auto" w:fill="auto"/>
        <w:tblLayout w:type="autofit"/>
        <w:tblCellMar>
          <w:top w:w="0" w:type="dxa"/>
          <w:left w:w="0" w:type="dxa"/>
          <w:bottom w:w="0" w:type="dxa"/>
          <w:right w:w="0" w:type="dxa"/>
        </w:tblCellMar>
      </w:tblPr>
      <w:tblGrid>
        <w:gridCol w:w="3600"/>
        <w:gridCol w:w="1845"/>
        <w:gridCol w:w="2940"/>
        <w:gridCol w:w="1560"/>
      </w:tblGrid>
      <w:tr>
        <w:tblPrEx>
          <w:shd w:val="clear" w:color="auto" w:fill="auto"/>
          <w:tblCellMar>
            <w:top w:w="0" w:type="dxa"/>
            <w:left w:w="0" w:type="dxa"/>
            <w:bottom w:w="0" w:type="dxa"/>
            <w:right w:w="0" w:type="dxa"/>
          </w:tblCellMar>
        </w:tblPrEx>
        <w:trPr>
          <w:trHeight w:val="390" w:hRule="atLeast"/>
        </w:trPr>
        <w:tc>
          <w:tcPr>
            <w:tcW w:w="36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2020年度财政拨款收支预算总表</w:t>
            </w:r>
          </w:p>
        </w:tc>
        <w:tc>
          <w:tcPr>
            <w:tcW w:w="1845"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940"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60"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收入项目类别</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支出项目类别</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255.13</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人员支出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218.28</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对个人和家庭补助支出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36.49</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56.01</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311.14</w:t>
            </w:r>
          </w:p>
        </w:tc>
      </w:tr>
    </w:tbl>
    <w:p>
      <w:pPr>
        <w:numPr>
          <w:ilvl w:val="0"/>
          <w:numId w:val="0"/>
        </w:num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hint="eastAsia" w:ascii="仿宋" w:hAnsi="仿宋" w:eastAsia="仿宋"/>
          <w:sz w:val="32"/>
          <w:szCs w:val="32"/>
        </w:rPr>
      </w:pPr>
      <w:r>
        <w:rPr>
          <w:rFonts w:hint="eastAsia" w:ascii="仿宋" w:hAnsi="仿宋" w:eastAsia="仿宋"/>
          <w:sz w:val="32"/>
          <w:szCs w:val="32"/>
        </w:rPr>
        <w:t>五、一般公共预算拨款支出预算表</w:t>
      </w:r>
    </w:p>
    <w:tbl>
      <w:tblPr>
        <w:tblStyle w:val="6"/>
        <w:tblpPr w:leftFromText="180" w:rightFromText="180" w:vertAnchor="text" w:horzAnchor="page" w:tblpX="794" w:tblpY="954"/>
        <w:tblOverlap w:val="never"/>
        <w:tblW w:w="10920" w:type="dxa"/>
        <w:tblInd w:w="0" w:type="dxa"/>
        <w:shd w:val="clear" w:color="auto" w:fill="auto"/>
        <w:tblLayout w:type="autofit"/>
        <w:tblCellMar>
          <w:top w:w="0" w:type="dxa"/>
          <w:left w:w="0" w:type="dxa"/>
          <w:bottom w:w="0" w:type="dxa"/>
          <w:right w:w="0" w:type="dxa"/>
        </w:tblCellMar>
      </w:tblPr>
      <w:tblGrid>
        <w:gridCol w:w="2232"/>
        <w:gridCol w:w="2529"/>
        <w:gridCol w:w="1696"/>
        <w:gridCol w:w="1696"/>
        <w:gridCol w:w="2767"/>
      </w:tblGrid>
      <w:tr>
        <w:tblPrEx>
          <w:shd w:val="clear" w:color="auto" w:fill="auto"/>
          <w:tblCellMar>
            <w:top w:w="0" w:type="dxa"/>
            <w:left w:w="0" w:type="dxa"/>
            <w:bottom w:w="0" w:type="dxa"/>
            <w:right w:w="0" w:type="dxa"/>
          </w:tblCellMar>
        </w:tblPrEx>
        <w:trPr>
          <w:trHeight w:val="570" w:hRule="atLeast"/>
        </w:trPr>
        <w:tc>
          <w:tcPr>
            <w:tcW w:w="10920" w:type="dxa"/>
            <w:gridSpan w:val="5"/>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32"/>
                <w:szCs w:val="32"/>
                <w:u w:val="none"/>
                <w:lang w:val="en-US" w:eastAsia="zh-CN" w:bidi="ar"/>
              </w:rPr>
              <w:t>2020年度一般公共预算拨款支出预算表</w:t>
            </w:r>
          </w:p>
        </w:tc>
      </w:tr>
      <w:tr>
        <w:tblPrEx>
          <w:tblCellMar>
            <w:top w:w="0" w:type="dxa"/>
            <w:left w:w="0" w:type="dxa"/>
            <w:bottom w:w="0" w:type="dxa"/>
            <w:right w:w="0" w:type="dxa"/>
          </w:tblCellMar>
        </w:tblPrEx>
        <w:trPr>
          <w:trHeight w:val="51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2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311.14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255.13</w:t>
            </w: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56.01</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行政运行（党委办公厅（室）及相关机构事务）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196.74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196.74</w:t>
            </w: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专项业务（党委办公厅（室）及相关机构事务）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53.01</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2013199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其他党委办公厅（室）及相关机构事务支出</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24.99</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24.99</w:t>
            </w: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11.95</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11.95</w:t>
            </w: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w:t>
            </w: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17.92</w:t>
            </w:r>
          </w:p>
        </w:tc>
        <w:tc>
          <w:tcPr>
            <w:tcW w:w="2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六、政府性基金拨款支出预算表</w:t>
      </w:r>
    </w:p>
    <w:p>
      <w:pPr>
        <w:tabs>
          <w:tab w:val="left" w:pos="7513"/>
        </w:tabs>
        <w:adjustRightInd w:val="0"/>
        <w:snapToGrid w:val="0"/>
        <w:spacing w:line="600" w:lineRule="exact"/>
        <w:rPr>
          <w:rFonts w:ascii="仿宋" w:hAnsi="仿宋" w:eastAsia="仿宋"/>
          <w:sz w:val="32"/>
          <w:szCs w:val="32"/>
        </w:rPr>
      </w:pPr>
    </w:p>
    <w:tbl>
      <w:tblPr>
        <w:tblStyle w:val="6"/>
        <w:tblW w:w="10260" w:type="dxa"/>
        <w:tblInd w:w="-973" w:type="dxa"/>
        <w:tblLayout w:type="autofit"/>
        <w:tblCellMar>
          <w:top w:w="0" w:type="dxa"/>
          <w:left w:w="108" w:type="dxa"/>
          <w:bottom w:w="0" w:type="dxa"/>
          <w:right w:w="108" w:type="dxa"/>
        </w:tblCellMar>
      </w:tblPr>
      <w:tblGrid>
        <w:gridCol w:w="1900"/>
        <w:gridCol w:w="2840"/>
        <w:gridCol w:w="1840"/>
        <w:gridCol w:w="1840"/>
        <w:gridCol w:w="1840"/>
      </w:tblGrid>
      <w:tr>
        <w:tblPrEx>
          <w:tblCellMar>
            <w:top w:w="0" w:type="dxa"/>
            <w:left w:w="108" w:type="dxa"/>
            <w:bottom w:w="0" w:type="dxa"/>
            <w:right w:w="108" w:type="dxa"/>
          </w:tblCellMar>
        </w:tblPrEx>
        <w:trPr>
          <w:trHeight w:val="492" w:hRule="atLeast"/>
        </w:trPr>
        <w:tc>
          <w:tcPr>
            <w:tcW w:w="19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附表6</w:t>
            </w:r>
          </w:p>
        </w:tc>
        <w:tc>
          <w:tcPr>
            <w:tcW w:w="28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8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84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16"/>
                <w:szCs w:val="16"/>
              </w:rPr>
            </w:pPr>
          </w:p>
        </w:tc>
        <w:tc>
          <w:tcPr>
            <w:tcW w:w="184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529" w:hRule="atLeast"/>
        </w:trPr>
        <w:tc>
          <w:tcPr>
            <w:tcW w:w="10260" w:type="dxa"/>
            <w:gridSpan w:val="5"/>
            <w:tcBorders>
              <w:top w:val="nil"/>
              <w:left w:val="nil"/>
              <w:bottom w:val="nil"/>
              <w:right w:val="nil"/>
            </w:tcBorders>
            <w:shd w:val="clear" w:color="auto" w:fill="auto"/>
            <w:noWrap/>
            <w:vAlign w:val="center"/>
          </w:tcPr>
          <w:p>
            <w:pPr>
              <w:widowControl/>
              <w:spacing w:line="240" w:lineRule="auto"/>
              <w:jc w:val="center"/>
              <w:rPr>
                <w:rFonts w:ascii="方正小标宋_GBK" w:hAnsi="宋体" w:eastAsia="方正小标宋_GBK" w:cs="宋体"/>
                <w:kern w:val="0"/>
                <w:sz w:val="32"/>
                <w:szCs w:val="32"/>
              </w:rPr>
            </w:pPr>
            <w:r>
              <w:rPr>
                <w:rFonts w:hint="eastAsia" w:ascii="方正小标宋_GBK" w:hAnsi="宋体" w:eastAsia="方正小标宋_GBK" w:cs="宋体"/>
                <w:kern w:val="0"/>
                <w:sz w:val="32"/>
                <w:szCs w:val="32"/>
                <w:lang w:val="en-US" w:eastAsia="zh-CN"/>
              </w:rPr>
              <w:t>2020</w:t>
            </w:r>
            <w:r>
              <w:rPr>
                <w:rFonts w:hint="eastAsia" w:ascii="方正小标宋_GBK" w:hAnsi="宋体" w:eastAsia="方正小标宋_GBK" w:cs="宋体"/>
                <w:kern w:val="0"/>
                <w:sz w:val="32"/>
                <w:szCs w:val="32"/>
              </w:rPr>
              <w:t>年度政府性基金拨款支出预算表</w:t>
            </w:r>
          </w:p>
        </w:tc>
      </w:tr>
      <w:tr>
        <w:tblPrEx>
          <w:tblCellMar>
            <w:top w:w="0" w:type="dxa"/>
            <w:left w:w="108" w:type="dxa"/>
            <w:bottom w:w="0" w:type="dxa"/>
            <w:right w:w="108" w:type="dxa"/>
          </w:tblCellMar>
        </w:tblPrEx>
        <w:trPr>
          <w:trHeight w:val="285" w:hRule="atLeast"/>
        </w:trPr>
        <w:tc>
          <w:tcPr>
            <w:tcW w:w="190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84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84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84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84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8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8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6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8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8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w:t>
            </w:r>
          </w:p>
        </w:tc>
        <w:tc>
          <w:tcPr>
            <w:tcW w:w="28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w:t>
            </w:r>
          </w:p>
        </w:tc>
        <w:tc>
          <w:tcPr>
            <w:tcW w:w="18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1</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2</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3</w:t>
            </w:r>
          </w:p>
        </w:tc>
      </w:tr>
      <w:tr>
        <w:tblPrEx>
          <w:tblCellMar>
            <w:top w:w="0" w:type="dxa"/>
            <w:left w:w="108" w:type="dxa"/>
            <w:bottom w:w="0" w:type="dxa"/>
            <w:right w:w="108" w:type="dxa"/>
          </w:tblCellMar>
        </w:tblPrEx>
        <w:trPr>
          <w:trHeight w:val="402"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rPr>
              <w:t>　</w:t>
            </w:r>
            <w:r>
              <w:rPr>
                <w:rFonts w:hint="eastAsia" w:ascii="宋体" w:hAnsi="宋体" w:eastAsia="宋体" w:cs="宋体"/>
                <w:kern w:val="0"/>
                <w:sz w:val="22"/>
                <w:lang w:eastAsia="zh-CN"/>
              </w:rPr>
              <w:t>无</w:t>
            </w:r>
          </w:p>
        </w:tc>
        <w:tc>
          <w:tcPr>
            <w:tcW w:w="284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84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90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90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90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8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72" w:hRule="atLeast"/>
        </w:trPr>
        <w:tc>
          <w:tcPr>
            <w:tcW w:w="8420" w:type="dxa"/>
            <w:gridSpan w:val="4"/>
            <w:tcBorders>
              <w:top w:val="nil"/>
              <w:left w:val="nil"/>
              <w:bottom w:val="nil"/>
              <w:right w:val="nil"/>
            </w:tcBorders>
            <w:shd w:val="clear" w:color="auto" w:fill="auto"/>
            <w:noWrap/>
            <w:vAlign w:val="bottom"/>
          </w:tcPr>
          <w:p>
            <w:pPr>
              <w:widowControl/>
              <w:spacing w:line="240" w:lineRule="auto"/>
              <w:jc w:val="left"/>
              <w:rPr>
                <w:rFonts w:ascii="楷体" w:hAnsi="楷体" w:eastAsia="楷体" w:cs="宋体"/>
                <w:kern w:val="0"/>
                <w:sz w:val="22"/>
              </w:rPr>
            </w:pPr>
            <w:r>
              <w:rPr>
                <w:rFonts w:hint="eastAsia" w:ascii="楷体" w:hAnsi="楷体" w:eastAsia="楷体" w:cs="宋体"/>
                <w:kern w:val="0"/>
                <w:sz w:val="22"/>
              </w:rPr>
              <w:t>备注：1.本表公开到政府支出功能分类项级科目。</w:t>
            </w:r>
          </w:p>
        </w:tc>
        <w:tc>
          <w:tcPr>
            <w:tcW w:w="184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372" w:hRule="atLeast"/>
        </w:trPr>
        <w:tc>
          <w:tcPr>
            <w:tcW w:w="8420" w:type="dxa"/>
            <w:gridSpan w:val="4"/>
            <w:tcBorders>
              <w:top w:val="nil"/>
              <w:left w:val="nil"/>
              <w:bottom w:val="nil"/>
              <w:right w:val="nil"/>
            </w:tcBorders>
            <w:shd w:val="clear" w:color="auto" w:fill="auto"/>
            <w:vAlign w:val="bottom"/>
          </w:tcPr>
          <w:p>
            <w:pPr>
              <w:widowControl/>
              <w:spacing w:line="240" w:lineRule="auto"/>
              <w:jc w:val="left"/>
              <w:rPr>
                <w:rFonts w:ascii="楷体" w:hAnsi="楷体" w:eastAsia="楷体" w:cs="宋体"/>
                <w:kern w:val="0"/>
                <w:sz w:val="22"/>
              </w:rPr>
            </w:pPr>
            <w:r>
              <w:rPr>
                <w:rFonts w:hint="eastAsia" w:ascii="楷体" w:hAnsi="楷体" w:eastAsia="楷体" w:cs="宋体"/>
                <w:kern w:val="0"/>
                <w:sz w:val="22"/>
              </w:rPr>
              <w:t xml:space="preserve">      2.没有数据的单位应当列出空表并说明。</w:t>
            </w:r>
          </w:p>
        </w:tc>
        <w:tc>
          <w:tcPr>
            <w:tcW w:w="184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2"/>
              </w:rPr>
            </w:pP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七、一般公共预算支出经济分类情况表</w:t>
      </w:r>
    </w:p>
    <w:p>
      <w:pPr>
        <w:tabs>
          <w:tab w:val="left" w:pos="7513"/>
        </w:tabs>
        <w:adjustRightInd w:val="0"/>
        <w:snapToGrid w:val="0"/>
        <w:spacing w:line="600" w:lineRule="exact"/>
        <w:rPr>
          <w:rFonts w:ascii="仿宋" w:hAnsi="仿宋" w:eastAsia="仿宋"/>
          <w:sz w:val="32"/>
          <w:szCs w:val="32"/>
        </w:rPr>
      </w:pPr>
    </w:p>
    <w:tbl>
      <w:tblPr>
        <w:tblStyle w:val="6"/>
        <w:tblW w:w="10100" w:type="dxa"/>
        <w:tblInd w:w="-894" w:type="dxa"/>
        <w:tblLayout w:type="autofit"/>
        <w:tblCellMar>
          <w:top w:w="0" w:type="dxa"/>
          <w:left w:w="108" w:type="dxa"/>
          <w:bottom w:w="0" w:type="dxa"/>
          <w:right w:w="108" w:type="dxa"/>
        </w:tblCellMar>
      </w:tblPr>
      <w:tblGrid>
        <w:gridCol w:w="934"/>
        <w:gridCol w:w="1126"/>
        <w:gridCol w:w="4360"/>
        <w:gridCol w:w="1015"/>
        <w:gridCol w:w="2665"/>
      </w:tblGrid>
      <w:tr>
        <w:tblPrEx>
          <w:tblCellMar>
            <w:top w:w="0" w:type="dxa"/>
            <w:left w:w="108" w:type="dxa"/>
            <w:bottom w:w="0" w:type="dxa"/>
            <w:right w:w="108" w:type="dxa"/>
          </w:tblCellMar>
        </w:tblPrEx>
        <w:trPr>
          <w:trHeight w:val="469" w:hRule="atLeast"/>
        </w:trPr>
        <w:tc>
          <w:tcPr>
            <w:tcW w:w="2060" w:type="dxa"/>
            <w:gridSpan w:val="2"/>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kern w:val="0"/>
                <w:sz w:val="24"/>
                <w:szCs w:val="24"/>
              </w:rPr>
            </w:pPr>
            <w:bookmarkStart w:id="0" w:name="RANGE!A1:C15"/>
            <w:r>
              <w:rPr>
                <w:rFonts w:hint="eastAsia" w:ascii="宋体" w:hAnsi="宋体" w:eastAsia="宋体" w:cs="宋体"/>
                <w:kern w:val="0"/>
                <w:sz w:val="24"/>
                <w:szCs w:val="24"/>
              </w:rPr>
              <w:t>附表7</w:t>
            </w:r>
            <w:bookmarkEnd w:id="0"/>
          </w:p>
        </w:tc>
        <w:tc>
          <w:tcPr>
            <w:tcW w:w="436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3680" w:type="dxa"/>
            <w:gridSpan w:val="2"/>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r>
      <w:tr>
        <w:tblPrEx>
          <w:shd w:val="clear" w:color="auto" w:fill="auto"/>
          <w:tblCellMar>
            <w:top w:w="0" w:type="dxa"/>
            <w:left w:w="0" w:type="dxa"/>
            <w:bottom w:w="0" w:type="dxa"/>
            <w:right w:w="0" w:type="dxa"/>
          </w:tblCellMar>
        </w:tblPrEx>
        <w:trPr>
          <w:trHeight w:val="525" w:hRule="atLeast"/>
        </w:trPr>
        <w:tc>
          <w:tcPr>
            <w:tcW w:w="10100" w:type="dxa"/>
            <w:gridSpan w:val="5"/>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32"/>
                <w:szCs w:val="32"/>
                <w:u w:val="none"/>
                <w:lang w:val="en-US" w:eastAsia="zh-CN" w:bidi="ar"/>
              </w:rPr>
              <w:t>2020年度一般公共预算支出经济分类情况表</w:t>
            </w:r>
          </w:p>
        </w:tc>
      </w:tr>
      <w:tr>
        <w:tblPrEx>
          <w:shd w:val="clear" w:color="auto" w:fill="auto"/>
          <w:tblCellMar>
            <w:top w:w="0" w:type="dxa"/>
            <w:left w:w="0" w:type="dxa"/>
            <w:bottom w:w="0" w:type="dxa"/>
            <w:right w:w="0" w:type="dxa"/>
          </w:tblCellMar>
        </w:tblPrEx>
        <w:trPr>
          <w:trHeight w:val="255" w:hRule="atLeast"/>
        </w:trPr>
        <w:tc>
          <w:tcPr>
            <w:tcW w:w="93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501" w:type="dxa"/>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6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255" w:hRule="atLeast"/>
        </w:trPr>
        <w:tc>
          <w:tcPr>
            <w:tcW w:w="93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6501"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6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shd w:val="clear" w:color="auto" w:fill="auto"/>
          <w:tblCellMar>
            <w:top w:w="0" w:type="dxa"/>
            <w:left w:w="0" w:type="dxa"/>
            <w:bottom w:w="0" w:type="dxa"/>
            <w:right w:w="0" w:type="dxa"/>
          </w:tblCellMar>
        </w:tblPrEx>
        <w:trPr>
          <w:trHeight w:val="255" w:hRule="atLeast"/>
        </w:trPr>
        <w:tc>
          <w:tcPr>
            <w:tcW w:w="93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01"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311.14</w:t>
            </w:r>
          </w:p>
        </w:tc>
      </w:tr>
      <w:tr>
        <w:tblPrEx>
          <w:shd w:val="clear" w:color="auto" w:fill="auto"/>
          <w:tblCellMar>
            <w:top w:w="0" w:type="dxa"/>
            <w:left w:w="0" w:type="dxa"/>
            <w:bottom w:w="0" w:type="dxa"/>
            <w:right w:w="0" w:type="dxa"/>
          </w:tblCellMar>
        </w:tblPrEx>
        <w:trPr>
          <w:trHeight w:val="255" w:hRule="atLeast"/>
        </w:trPr>
        <w:tc>
          <w:tcPr>
            <w:tcW w:w="93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6501"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218.28</w:t>
            </w:r>
          </w:p>
        </w:tc>
      </w:tr>
      <w:tr>
        <w:tblPrEx>
          <w:shd w:val="clear" w:color="auto" w:fill="auto"/>
          <w:tblCellMar>
            <w:top w:w="0" w:type="dxa"/>
            <w:left w:w="0" w:type="dxa"/>
            <w:bottom w:w="0" w:type="dxa"/>
            <w:right w:w="0" w:type="dxa"/>
          </w:tblCellMar>
        </w:tblPrEx>
        <w:trPr>
          <w:trHeight w:val="255" w:hRule="atLeast"/>
        </w:trPr>
        <w:tc>
          <w:tcPr>
            <w:tcW w:w="93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6501"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92.50</w:t>
            </w:r>
          </w:p>
        </w:tc>
      </w:tr>
      <w:tr>
        <w:tblPrEx>
          <w:shd w:val="clear" w:color="auto" w:fill="auto"/>
          <w:tblCellMar>
            <w:top w:w="0" w:type="dxa"/>
            <w:left w:w="0" w:type="dxa"/>
            <w:bottom w:w="0" w:type="dxa"/>
            <w:right w:w="0" w:type="dxa"/>
          </w:tblCellMar>
        </w:tblPrEx>
        <w:trPr>
          <w:trHeight w:val="255" w:hRule="atLeast"/>
        </w:trPr>
        <w:tc>
          <w:tcPr>
            <w:tcW w:w="93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6501"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八、一般公共预算基本支出经济分类情况表</w:t>
      </w:r>
    </w:p>
    <w:p>
      <w:pPr>
        <w:tabs>
          <w:tab w:val="left" w:pos="7513"/>
        </w:tabs>
        <w:adjustRightInd w:val="0"/>
        <w:snapToGrid w:val="0"/>
        <w:spacing w:line="600" w:lineRule="exact"/>
        <w:rPr>
          <w:rFonts w:ascii="仿宋" w:hAnsi="仿宋" w:eastAsia="仿宋"/>
          <w:sz w:val="32"/>
          <w:szCs w:val="32"/>
        </w:rPr>
      </w:pPr>
    </w:p>
    <w:tbl>
      <w:tblPr>
        <w:tblStyle w:val="6"/>
        <w:tblW w:w="9860" w:type="dxa"/>
        <w:tblInd w:w="-731" w:type="dxa"/>
        <w:tblLayout w:type="autofit"/>
        <w:tblCellMar>
          <w:top w:w="0" w:type="dxa"/>
          <w:left w:w="108" w:type="dxa"/>
          <w:bottom w:w="0" w:type="dxa"/>
          <w:right w:w="108" w:type="dxa"/>
        </w:tblCellMar>
      </w:tblPr>
      <w:tblGrid>
        <w:gridCol w:w="911"/>
        <w:gridCol w:w="1209"/>
        <w:gridCol w:w="4460"/>
        <w:gridCol w:w="678"/>
        <w:gridCol w:w="2602"/>
      </w:tblGrid>
      <w:tr>
        <w:tblPrEx>
          <w:tblCellMar>
            <w:top w:w="0" w:type="dxa"/>
            <w:left w:w="108" w:type="dxa"/>
            <w:bottom w:w="0" w:type="dxa"/>
            <w:right w:w="108" w:type="dxa"/>
          </w:tblCellMar>
        </w:tblPrEx>
        <w:trPr>
          <w:trHeight w:val="518" w:hRule="atLeast"/>
        </w:trPr>
        <w:tc>
          <w:tcPr>
            <w:tcW w:w="2120" w:type="dxa"/>
            <w:gridSpan w:val="2"/>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附表8</w:t>
            </w:r>
          </w:p>
        </w:tc>
        <w:tc>
          <w:tcPr>
            <w:tcW w:w="446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3280" w:type="dxa"/>
            <w:gridSpan w:val="2"/>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r>
      <w:tr>
        <w:tblPrEx>
          <w:shd w:val="clear" w:color="auto" w:fill="auto"/>
          <w:tblCellMar>
            <w:top w:w="0" w:type="dxa"/>
            <w:left w:w="0" w:type="dxa"/>
            <w:bottom w:w="0" w:type="dxa"/>
            <w:right w:w="0" w:type="dxa"/>
          </w:tblCellMar>
        </w:tblPrEx>
        <w:trPr>
          <w:trHeight w:val="525" w:hRule="atLeast"/>
        </w:trPr>
        <w:tc>
          <w:tcPr>
            <w:tcW w:w="9860" w:type="dxa"/>
            <w:gridSpan w:val="5"/>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32"/>
                <w:szCs w:val="32"/>
                <w:u w:val="none"/>
                <w:lang w:val="en-US" w:eastAsia="zh-CN" w:bidi="ar"/>
              </w:rPr>
              <w:t>2020年度一般公共预算基本支出经济分类情况表</w:t>
            </w:r>
          </w:p>
        </w:tc>
      </w:tr>
      <w:tr>
        <w:tblPrEx>
          <w:shd w:val="clear" w:color="auto" w:fill="auto"/>
          <w:tblCellMar>
            <w:top w:w="0" w:type="dxa"/>
            <w:left w:w="0" w:type="dxa"/>
            <w:bottom w:w="0" w:type="dxa"/>
            <w:right w:w="0" w:type="dxa"/>
          </w:tblCellMar>
        </w:tblPrEx>
        <w:trPr>
          <w:trHeight w:val="255" w:hRule="atLeast"/>
        </w:trPr>
        <w:tc>
          <w:tcPr>
            <w:tcW w:w="91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347" w:type="dxa"/>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60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6347"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60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255.13</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218.28</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30101</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81.98</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30102</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67.38</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30103</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6.83</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30108</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24.99</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30110</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11.95</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30111</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30112</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0.82</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30113</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17.92</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30199</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36.49</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30201</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8.04</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30207</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30228</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0.99</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30229</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30239</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16.20</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30299</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5.74</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r>
      <w:tr>
        <w:tblPrEx>
          <w:shd w:val="clear" w:color="auto" w:fill="auto"/>
          <w:tblCellMar>
            <w:top w:w="0" w:type="dxa"/>
            <w:left w:w="0" w:type="dxa"/>
            <w:bottom w:w="0" w:type="dxa"/>
            <w:right w:w="0" w:type="dxa"/>
          </w:tblCellMar>
        </w:tblPrEx>
        <w:trPr>
          <w:trHeight w:val="390" w:hRule="atLeast"/>
        </w:trPr>
        <w:tc>
          <w:tcPr>
            <w:tcW w:w="9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30399</w:t>
            </w:r>
          </w:p>
        </w:tc>
        <w:tc>
          <w:tcPr>
            <w:tcW w:w="6347"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w:t>
            </w: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九、一般公共预算“三公”经费支出预算表</w:t>
      </w:r>
    </w:p>
    <w:p>
      <w:pPr>
        <w:tabs>
          <w:tab w:val="left" w:pos="7513"/>
        </w:tabs>
        <w:adjustRightInd w:val="0"/>
        <w:snapToGrid w:val="0"/>
        <w:spacing w:line="600" w:lineRule="exact"/>
        <w:rPr>
          <w:rFonts w:ascii="仿宋" w:hAnsi="仿宋" w:eastAsia="仿宋"/>
          <w:sz w:val="32"/>
          <w:szCs w:val="32"/>
        </w:rPr>
      </w:pPr>
    </w:p>
    <w:tbl>
      <w:tblPr>
        <w:tblStyle w:val="6"/>
        <w:tblW w:w="9984" w:type="dxa"/>
        <w:tblInd w:w="-681" w:type="dxa"/>
        <w:tblLayout w:type="autofit"/>
        <w:tblCellMar>
          <w:top w:w="0" w:type="dxa"/>
          <w:left w:w="108" w:type="dxa"/>
          <w:bottom w:w="0" w:type="dxa"/>
          <w:right w:w="108" w:type="dxa"/>
        </w:tblCellMar>
      </w:tblPr>
      <w:tblGrid>
        <w:gridCol w:w="6292"/>
        <w:gridCol w:w="624"/>
        <w:gridCol w:w="3068"/>
      </w:tblGrid>
      <w:tr>
        <w:tblPrEx>
          <w:tblCellMar>
            <w:top w:w="0" w:type="dxa"/>
            <w:left w:w="108" w:type="dxa"/>
            <w:bottom w:w="0" w:type="dxa"/>
            <w:right w:w="108" w:type="dxa"/>
          </w:tblCellMar>
        </w:tblPrEx>
        <w:trPr>
          <w:trHeight w:val="285" w:hRule="atLeast"/>
        </w:trPr>
        <w:tc>
          <w:tcPr>
            <w:tcW w:w="610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附表9</w:t>
            </w:r>
          </w:p>
        </w:tc>
        <w:tc>
          <w:tcPr>
            <w:tcW w:w="3580"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r>
      <w:tr>
        <w:tblPrEx>
          <w:shd w:val="clear" w:color="auto" w:fill="auto"/>
          <w:tblCellMar>
            <w:top w:w="0" w:type="dxa"/>
            <w:left w:w="0" w:type="dxa"/>
            <w:bottom w:w="0" w:type="dxa"/>
            <w:right w:w="0" w:type="dxa"/>
          </w:tblCellMar>
        </w:tblPrEx>
        <w:trPr>
          <w:trHeight w:val="570" w:hRule="atLeast"/>
        </w:trPr>
        <w:tc>
          <w:tcPr>
            <w:tcW w:w="670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2020年度一般公共预算“三公”经费支出预算表</w:t>
            </w:r>
          </w:p>
        </w:tc>
        <w:tc>
          <w:tcPr>
            <w:tcW w:w="2505"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55" w:hRule="atLeast"/>
        </w:trPr>
        <w:tc>
          <w:tcPr>
            <w:tcW w:w="6705"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50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480" w:hRule="atLeast"/>
        </w:trPr>
        <w:tc>
          <w:tcPr>
            <w:tcW w:w="67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r>
      <w:tr>
        <w:tblPrEx>
          <w:shd w:val="clear" w:color="auto" w:fill="auto"/>
          <w:tblCellMar>
            <w:top w:w="0" w:type="dxa"/>
            <w:left w:w="0" w:type="dxa"/>
            <w:bottom w:w="0" w:type="dxa"/>
            <w:right w:w="0" w:type="dxa"/>
          </w:tblCellMar>
        </w:tblPrEx>
        <w:trPr>
          <w:trHeight w:val="480" w:hRule="atLeast"/>
        </w:trPr>
        <w:tc>
          <w:tcPr>
            <w:tcW w:w="6705" w:type="dxa"/>
            <w:gridSpan w:val="2"/>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50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465" w:hRule="atLeast"/>
        </w:trPr>
        <w:tc>
          <w:tcPr>
            <w:tcW w:w="6705" w:type="dxa"/>
            <w:gridSpan w:val="2"/>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1、因公出国(境)费用</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480" w:hRule="atLeast"/>
        </w:trPr>
        <w:tc>
          <w:tcPr>
            <w:tcW w:w="67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2、公务接待费</w:t>
            </w:r>
          </w:p>
        </w:tc>
        <w:tc>
          <w:tcPr>
            <w:tcW w:w="250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480" w:hRule="atLeast"/>
        </w:trPr>
        <w:tc>
          <w:tcPr>
            <w:tcW w:w="6705"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3、公务用车购置及运行费</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480" w:hRule="atLeast"/>
        </w:trPr>
        <w:tc>
          <w:tcPr>
            <w:tcW w:w="67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其中：（1）公务用车运行费</w:t>
            </w:r>
          </w:p>
        </w:tc>
        <w:tc>
          <w:tcPr>
            <w:tcW w:w="25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480" w:hRule="atLeast"/>
        </w:trPr>
        <w:tc>
          <w:tcPr>
            <w:tcW w:w="67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（2）公务用车购置费</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十、部门专项资金管理清单目录</w:t>
      </w:r>
    </w:p>
    <w:p>
      <w:pPr>
        <w:tabs>
          <w:tab w:val="left" w:pos="7513"/>
        </w:tabs>
        <w:adjustRightInd w:val="0"/>
        <w:snapToGrid w:val="0"/>
        <w:spacing w:line="600" w:lineRule="exact"/>
        <w:rPr>
          <w:rFonts w:ascii="仿宋" w:hAnsi="仿宋" w:eastAsia="仿宋"/>
          <w:sz w:val="32"/>
          <w:szCs w:val="32"/>
        </w:rPr>
      </w:pPr>
    </w:p>
    <w:tbl>
      <w:tblPr>
        <w:tblStyle w:val="6"/>
        <w:tblW w:w="10286" w:type="dxa"/>
        <w:tblInd w:w="-994" w:type="dxa"/>
        <w:tblLayout w:type="autofit"/>
        <w:tblCellMar>
          <w:top w:w="0" w:type="dxa"/>
          <w:left w:w="108" w:type="dxa"/>
          <w:bottom w:w="0" w:type="dxa"/>
          <w:right w:w="108" w:type="dxa"/>
        </w:tblCellMar>
      </w:tblPr>
      <w:tblGrid>
        <w:gridCol w:w="1548"/>
        <w:gridCol w:w="1499"/>
        <w:gridCol w:w="878"/>
        <w:gridCol w:w="878"/>
        <w:gridCol w:w="671"/>
        <w:gridCol w:w="1292"/>
        <w:gridCol w:w="1189"/>
        <w:gridCol w:w="2331"/>
      </w:tblGrid>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附表10</w:t>
            </w:r>
          </w:p>
        </w:tc>
        <w:tc>
          <w:tcPr>
            <w:tcW w:w="0" w:type="auto"/>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25" w:hRule="atLeast"/>
        </w:trPr>
        <w:tc>
          <w:tcPr>
            <w:tcW w:w="0" w:type="auto"/>
            <w:gridSpan w:val="8"/>
            <w:tcBorders>
              <w:top w:val="nil"/>
              <w:left w:val="nil"/>
              <w:bottom w:val="nil"/>
              <w:right w:val="nil"/>
            </w:tcBorders>
            <w:shd w:val="clear" w:color="auto" w:fill="auto"/>
            <w:noWrap/>
            <w:vAlign w:val="center"/>
          </w:tcPr>
          <w:p>
            <w:pPr>
              <w:widowControl/>
              <w:spacing w:line="240" w:lineRule="auto"/>
              <w:jc w:val="center"/>
              <w:rPr>
                <w:rFonts w:ascii="方正小标宋_GBK" w:hAnsi="宋体" w:eastAsia="方正小标宋_GBK" w:cs="宋体"/>
                <w:kern w:val="0"/>
                <w:sz w:val="32"/>
                <w:szCs w:val="32"/>
              </w:rPr>
            </w:pPr>
            <w:r>
              <w:rPr>
                <w:rFonts w:hint="eastAsia" w:ascii="方正小标宋_GBK" w:hAnsi="宋体" w:eastAsia="方正小标宋_GBK" w:cs="宋体"/>
                <w:kern w:val="0"/>
                <w:sz w:val="32"/>
                <w:szCs w:val="32"/>
                <w:lang w:val="en-US" w:eastAsia="zh-CN"/>
              </w:rPr>
              <w:t>2020</w:t>
            </w:r>
            <w:r>
              <w:rPr>
                <w:rFonts w:hint="eastAsia" w:ascii="方正小标宋_GBK" w:hAnsi="宋体" w:eastAsia="方正小标宋_GBK"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0" w:type="auto"/>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0" w:type="auto"/>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0" w:type="auto"/>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一般公共财政预算</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无</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385" w:hRule="atLeast"/>
        </w:trPr>
        <w:tc>
          <w:tcPr>
            <w:tcW w:w="0" w:type="auto"/>
            <w:gridSpan w:val="8"/>
            <w:tcBorders>
              <w:top w:val="single" w:color="auto" w:sz="4" w:space="0"/>
              <w:left w:val="nil"/>
              <w:bottom w:val="nil"/>
              <w:right w:val="nil"/>
            </w:tcBorders>
            <w:shd w:val="clear" w:color="auto" w:fill="auto"/>
          </w:tcPr>
          <w:p>
            <w:pPr>
              <w:widowControl/>
              <w:spacing w:line="240" w:lineRule="auto"/>
              <w:jc w:val="left"/>
              <w:rPr>
                <w:rFonts w:ascii="华文楷体" w:hAnsi="华文楷体" w:eastAsia="华文楷体" w:cs="宋体"/>
                <w:kern w:val="0"/>
                <w:sz w:val="22"/>
              </w:rPr>
            </w:pPr>
            <w:r>
              <w:rPr>
                <w:rFonts w:hint="eastAsia" w:ascii="华文楷体" w:hAnsi="华文楷体" w:eastAsia="华文楷体" w:cs="宋体"/>
                <w:kern w:val="0"/>
                <w:sz w:val="22"/>
              </w:rPr>
              <w:t>编报说明：</w:t>
            </w:r>
            <w:r>
              <w:rPr>
                <w:rFonts w:hint="eastAsia" w:ascii="华文楷体" w:hAnsi="华文楷体" w:eastAsia="华文楷体" w:cs="宋体"/>
                <w:kern w:val="0"/>
                <w:sz w:val="22"/>
              </w:rPr>
              <w:br w:type="textWrapping"/>
            </w:r>
            <w:r>
              <w:rPr>
                <w:rFonts w:hint="eastAsia" w:ascii="华文楷体" w:hAnsi="华文楷体" w:eastAsia="华文楷体" w:cs="宋体"/>
                <w:kern w:val="0"/>
                <w:sz w:val="22"/>
              </w:rPr>
              <w:t>1.立项依据：指专项资金设立所依据的法律、法规、规章或者政府的规范性文件。按照“《标题》+（文号）：主要依据内容”的格式填报。有多个设立依据的，应按设立依据的级次，从高到低填列。</w:t>
            </w:r>
            <w:r>
              <w:rPr>
                <w:rFonts w:hint="eastAsia" w:ascii="华文楷体" w:hAnsi="华文楷体" w:eastAsia="华文楷体" w:cs="宋体"/>
                <w:kern w:val="0"/>
                <w:sz w:val="22"/>
              </w:rPr>
              <w:br w:type="textWrapping"/>
            </w:r>
            <w:r>
              <w:rPr>
                <w:rFonts w:hint="eastAsia" w:ascii="华文楷体" w:hAnsi="华文楷体" w:eastAsia="华文楷体" w:cs="宋体"/>
                <w:kern w:val="0"/>
                <w:sz w:val="22"/>
              </w:rPr>
              <w:t>2.执行年限：专项资金未确定执行期限的，统一设定期限为3年。</w:t>
            </w:r>
            <w:r>
              <w:rPr>
                <w:rFonts w:hint="eastAsia" w:ascii="华文楷体" w:hAnsi="华文楷体" w:eastAsia="华文楷体" w:cs="宋体"/>
                <w:kern w:val="0"/>
                <w:sz w:val="22"/>
              </w:rPr>
              <w:br w:type="textWrapping"/>
            </w:r>
            <w:r>
              <w:rPr>
                <w:rFonts w:hint="eastAsia" w:ascii="华文楷体" w:hAnsi="华文楷体" w:eastAsia="华文楷体" w:cs="宋体"/>
                <w:kern w:val="0"/>
                <w:sz w:val="22"/>
              </w:rPr>
              <w:t>3.资金分配办法及支出标准：按照专项资金使用管理办法的相关规定填报，其中：资金分配办法分为“因素法”、“项目法”、“因素法、项目法相结合”。实行因素法分配的专项资金要描述资金分配因素的量化指标、权重系数和分配公式；实行项目管理法的专项资金要描述具体申报条件、筛选原则和审批程序。</w:t>
            </w:r>
          </w:p>
        </w:tc>
      </w:tr>
    </w:tbl>
    <w:p>
      <w:pPr>
        <w:tabs>
          <w:tab w:val="left" w:pos="7513"/>
        </w:tabs>
        <w:adjustRightInd w:val="0"/>
        <w:snapToGrid w:val="0"/>
        <w:spacing w:line="600" w:lineRule="exact"/>
        <w:rPr>
          <w:rFonts w:ascii="仿宋" w:hAnsi="仿宋" w:eastAsia="仿宋"/>
          <w:b/>
          <w:sz w:val="32"/>
          <w:szCs w:val="32"/>
        </w:rPr>
      </w:pPr>
    </w:p>
    <w:p>
      <w:pPr>
        <w:tabs>
          <w:tab w:val="left" w:pos="7513"/>
        </w:tabs>
        <w:adjustRightInd w:val="0"/>
        <w:snapToGrid w:val="0"/>
        <w:spacing w:line="600" w:lineRule="exact"/>
        <w:rPr>
          <w:rFonts w:ascii="仿宋" w:hAnsi="仿宋" w:eastAsia="仿宋"/>
          <w:b/>
          <w:sz w:val="32"/>
          <w:szCs w:val="32"/>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第三部分</w:t>
      </w:r>
      <w:r>
        <w:rPr>
          <w:rFonts w:hint="eastAsia" w:ascii="黑体" w:hAnsi="黑体" w:eastAsia="黑体"/>
          <w:sz w:val="36"/>
          <w:szCs w:val="36"/>
          <w:lang w:val="en-US" w:eastAsia="zh-CN"/>
        </w:rPr>
        <w:t>2020</w:t>
      </w:r>
      <w:r>
        <w:rPr>
          <w:rFonts w:hint="eastAsia" w:ascii="黑体" w:hAnsi="黑体" w:eastAsia="黑体"/>
          <w:sz w:val="3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cs="仿宋_GB2312"/>
          <w:sz w:val="32"/>
          <w:szCs w:val="32"/>
          <w:lang w:eastAsia="zh-CN"/>
        </w:rPr>
        <w:t>宁德市委编办</w:t>
      </w:r>
      <w:r>
        <w:rPr>
          <w:rFonts w:hint="eastAsia" w:ascii="仿宋" w:hAnsi="仿宋" w:eastAsia="仿宋"/>
          <w:sz w:val="32"/>
          <w:szCs w:val="32"/>
        </w:rPr>
        <w:t>收入预算为</w:t>
      </w:r>
      <w:r>
        <w:rPr>
          <w:rFonts w:hint="eastAsia" w:ascii="仿宋" w:hAnsi="仿宋" w:eastAsia="仿宋" w:cs="仿宋_GB2312"/>
          <w:sz w:val="32"/>
          <w:szCs w:val="32"/>
          <w:lang w:val="en-US" w:eastAsia="zh-CN"/>
        </w:rPr>
        <w:t>311.14</w:t>
      </w:r>
      <w:r>
        <w:rPr>
          <w:rFonts w:hint="eastAsia" w:ascii="仿宋" w:hAnsi="仿宋" w:eastAsia="仿宋"/>
          <w:sz w:val="32"/>
          <w:szCs w:val="32"/>
        </w:rPr>
        <w:t>万元，比上年增加</w:t>
      </w:r>
      <w:r>
        <w:rPr>
          <w:rFonts w:hint="eastAsia" w:ascii="仿宋" w:hAnsi="仿宋" w:eastAsia="仿宋" w:cs="仿宋_GB2312"/>
          <w:sz w:val="32"/>
          <w:szCs w:val="32"/>
          <w:lang w:val="en-US" w:eastAsia="zh-CN"/>
        </w:rPr>
        <w:t>0.9</w:t>
      </w:r>
      <w:r>
        <w:rPr>
          <w:rFonts w:hint="eastAsia" w:ascii="仿宋" w:hAnsi="仿宋" w:eastAsia="仿宋"/>
          <w:sz w:val="32"/>
          <w:szCs w:val="32"/>
        </w:rPr>
        <w:t>万元，主要原因是</w:t>
      </w:r>
      <w:r>
        <w:rPr>
          <w:rFonts w:ascii="仿宋_GB2312" w:hAnsi="宋体" w:eastAsia="仿宋_GB2312" w:cs="仿宋_GB2312"/>
          <w:b w:val="0"/>
          <w:i w:val="0"/>
          <w:caps w:val="0"/>
          <w:color w:val="333333"/>
          <w:spacing w:val="0"/>
          <w:sz w:val="32"/>
          <w:szCs w:val="32"/>
        </w:rPr>
        <w:t>人员晋升，工资福利支出增加</w:t>
      </w:r>
      <w:r>
        <w:rPr>
          <w:rFonts w:hint="eastAsia" w:ascii="仿宋_GB2312" w:hAnsi="宋体" w:eastAsia="仿宋_GB2312" w:cs="仿宋_GB2312"/>
          <w:b w:val="0"/>
          <w:i w:val="0"/>
          <w:caps w:val="0"/>
          <w:color w:val="333333"/>
          <w:spacing w:val="0"/>
          <w:sz w:val="32"/>
          <w:szCs w:val="32"/>
          <w:lang w:eastAsia="zh-CN"/>
        </w:rPr>
        <w:t>等</w:t>
      </w:r>
      <w:r>
        <w:rPr>
          <w:rFonts w:hint="eastAsia" w:ascii="仿宋" w:hAnsi="仿宋" w:eastAsia="仿宋" w:cs="仿宋_GB2312"/>
          <w:sz w:val="32"/>
          <w:szCs w:val="32"/>
        </w:rPr>
        <w:t>。</w:t>
      </w:r>
      <w:r>
        <w:rPr>
          <w:rFonts w:hint="eastAsia" w:ascii="仿宋" w:hAnsi="仿宋" w:eastAsia="仿宋"/>
          <w:sz w:val="32"/>
          <w:szCs w:val="32"/>
        </w:rPr>
        <w:t>其中：一般公共预算拨款</w:t>
      </w:r>
      <w:r>
        <w:rPr>
          <w:rFonts w:hint="eastAsia" w:ascii="仿宋" w:hAnsi="仿宋" w:eastAsia="仿宋" w:cs="仿宋_GB2312"/>
          <w:sz w:val="32"/>
          <w:szCs w:val="32"/>
          <w:lang w:val="en-US" w:eastAsia="zh-CN"/>
        </w:rPr>
        <w:t>311.14</w:t>
      </w:r>
      <w:r>
        <w:rPr>
          <w:rFonts w:hint="eastAsia" w:ascii="仿宋" w:hAnsi="仿宋" w:eastAsia="仿宋"/>
          <w:sz w:val="32"/>
          <w:szCs w:val="32"/>
        </w:rPr>
        <w:t>万元，基金预算财政拨款</w:t>
      </w:r>
      <w:r>
        <w:rPr>
          <w:rFonts w:hint="eastAsia" w:ascii="仿宋" w:hAnsi="仿宋" w:eastAsia="仿宋" w:cs="仿宋_GB2312"/>
          <w:sz w:val="32"/>
          <w:szCs w:val="32"/>
          <w:lang w:val="en-US" w:eastAsia="zh-CN"/>
        </w:rPr>
        <w:t>0</w:t>
      </w:r>
      <w:r>
        <w:rPr>
          <w:rFonts w:hint="eastAsia" w:ascii="仿宋" w:hAnsi="仿宋" w:eastAsia="仿宋"/>
          <w:sz w:val="32"/>
          <w:szCs w:val="32"/>
        </w:rPr>
        <w:t>万元,财政专户拨款</w:t>
      </w:r>
      <w:r>
        <w:rPr>
          <w:rFonts w:hint="eastAsia" w:ascii="仿宋" w:hAnsi="仿宋" w:eastAsia="仿宋" w:cs="仿宋_GB2312"/>
          <w:sz w:val="32"/>
          <w:szCs w:val="32"/>
          <w:lang w:val="en-US" w:eastAsia="zh-CN"/>
        </w:rPr>
        <w:t>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0</w:t>
      </w:r>
      <w:r>
        <w:rPr>
          <w:rFonts w:hint="eastAsia" w:ascii="仿宋" w:hAnsi="仿宋" w:eastAsia="仿宋"/>
          <w:sz w:val="32"/>
          <w:szCs w:val="32"/>
        </w:rPr>
        <w:t>万元,单位结余结转资金</w:t>
      </w:r>
      <w:r>
        <w:rPr>
          <w:rFonts w:hint="eastAsia" w:ascii="仿宋" w:hAnsi="仿宋" w:eastAsia="仿宋" w:cs="仿宋_GB2312"/>
          <w:sz w:val="32"/>
          <w:szCs w:val="32"/>
          <w:lang w:val="en-US" w:eastAsia="zh-CN"/>
        </w:rPr>
        <w:t>0</w:t>
      </w:r>
      <w:r>
        <w:rPr>
          <w:rFonts w:hint="eastAsia" w:ascii="仿宋" w:hAnsi="仿宋" w:eastAsia="仿宋"/>
          <w:sz w:val="32"/>
          <w:szCs w:val="32"/>
        </w:rPr>
        <w:t>万元。相应安排支出预算</w:t>
      </w:r>
      <w:r>
        <w:rPr>
          <w:rFonts w:hint="eastAsia" w:ascii="仿宋" w:hAnsi="仿宋" w:eastAsia="仿宋" w:cs="仿宋_GB2312"/>
          <w:sz w:val="32"/>
          <w:szCs w:val="32"/>
          <w:lang w:val="en-US" w:eastAsia="zh-CN"/>
        </w:rPr>
        <w:t>311.14</w:t>
      </w:r>
      <w:r>
        <w:rPr>
          <w:rFonts w:hint="eastAsia" w:ascii="仿宋" w:hAnsi="仿宋" w:eastAsia="仿宋"/>
          <w:sz w:val="32"/>
          <w:szCs w:val="32"/>
        </w:rPr>
        <w:t>万元，比上年增加</w:t>
      </w:r>
      <w:r>
        <w:rPr>
          <w:rFonts w:hint="eastAsia" w:ascii="仿宋" w:hAnsi="仿宋" w:eastAsia="仿宋" w:cs="仿宋_GB2312"/>
          <w:sz w:val="32"/>
          <w:szCs w:val="32"/>
          <w:lang w:val="en-US" w:eastAsia="zh-CN"/>
        </w:rPr>
        <w:t>0.9</w:t>
      </w:r>
      <w:r>
        <w:rPr>
          <w:rFonts w:hint="eastAsia" w:ascii="仿宋" w:hAnsi="仿宋" w:eastAsia="仿宋"/>
          <w:sz w:val="32"/>
          <w:szCs w:val="32"/>
        </w:rPr>
        <w:t>万元，其中：人员支出</w:t>
      </w:r>
      <w:r>
        <w:rPr>
          <w:rFonts w:hint="eastAsia" w:ascii="仿宋" w:hAnsi="仿宋" w:eastAsia="仿宋" w:cs="仿宋_GB2312"/>
          <w:sz w:val="32"/>
          <w:szCs w:val="32"/>
          <w:lang w:val="en-US" w:eastAsia="zh-CN"/>
        </w:rPr>
        <w:t>218.28</w:t>
      </w:r>
      <w:r>
        <w:rPr>
          <w:rFonts w:hint="eastAsia" w:ascii="仿宋" w:hAnsi="仿宋" w:eastAsia="仿宋"/>
          <w:sz w:val="32"/>
          <w:szCs w:val="32"/>
        </w:rPr>
        <w:t>万元，对个人和家庭补助支出</w:t>
      </w:r>
      <w:r>
        <w:rPr>
          <w:rFonts w:hint="eastAsia" w:ascii="仿宋" w:hAnsi="仿宋" w:eastAsia="仿宋" w:cs="仿宋_GB2312"/>
          <w:sz w:val="32"/>
          <w:szCs w:val="32"/>
          <w:lang w:val="en-US" w:eastAsia="zh-CN"/>
        </w:rPr>
        <w:t>0.36</w:t>
      </w:r>
      <w:r>
        <w:rPr>
          <w:rFonts w:hint="eastAsia" w:ascii="仿宋" w:hAnsi="仿宋" w:eastAsia="仿宋"/>
          <w:sz w:val="32"/>
          <w:szCs w:val="32"/>
        </w:rPr>
        <w:t>万元，公用支出</w:t>
      </w:r>
      <w:r>
        <w:rPr>
          <w:rFonts w:hint="eastAsia" w:ascii="仿宋" w:hAnsi="仿宋" w:eastAsia="仿宋" w:cs="仿宋_GB2312"/>
          <w:sz w:val="32"/>
          <w:szCs w:val="32"/>
          <w:lang w:val="en-US" w:eastAsia="zh-CN"/>
        </w:rPr>
        <w:t>36.49</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56.01</w:t>
      </w:r>
      <w:r>
        <w:rPr>
          <w:rFonts w:hint="eastAsia" w:ascii="仿宋" w:hAnsi="仿宋" w:eastAsia="仿宋"/>
          <w:sz w:val="32"/>
          <w:szCs w:val="32"/>
        </w:rPr>
        <w:t>万元。</w:t>
      </w:r>
    </w:p>
    <w:p>
      <w:pPr>
        <w:tabs>
          <w:tab w:val="left" w:pos="7513"/>
        </w:tabs>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二、一般公共预算拨款支出情况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bCs/>
          <w:sz w:val="32"/>
          <w:szCs w:val="32"/>
          <w:lang w:val="en-US" w:eastAsia="zh-CN"/>
        </w:rPr>
        <w:t>2020</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311.14</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cs="仿宋_GB2312"/>
          <w:sz w:val="32"/>
          <w:szCs w:val="32"/>
          <w:lang w:val="en-US" w:eastAsia="zh-CN"/>
        </w:rPr>
        <w:t>0.9</w:t>
      </w:r>
      <w:r>
        <w:rPr>
          <w:rFonts w:hint="eastAsia" w:ascii="仿宋" w:hAnsi="仿宋" w:eastAsia="仿宋"/>
          <w:sz w:val="32"/>
          <w:szCs w:val="32"/>
        </w:rPr>
        <w:t>万元，主要原因是</w:t>
      </w:r>
      <w:r>
        <w:rPr>
          <w:rFonts w:ascii="仿宋_GB2312" w:hAnsi="宋体" w:eastAsia="仿宋_GB2312" w:cs="仿宋_GB2312"/>
          <w:b w:val="0"/>
          <w:i w:val="0"/>
          <w:caps w:val="0"/>
          <w:color w:val="333333"/>
          <w:spacing w:val="0"/>
          <w:sz w:val="32"/>
          <w:szCs w:val="32"/>
        </w:rPr>
        <w:t>人员晋升，工资福利支出预算增加</w:t>
      </w:r>
      <w:r>
        <w:rPr>
          <w:rFonts w:hint="eastAsia" w:ascii="仿宋_GB2312" w:hAnsi="宋体" w:eastAsia="仿宋_GB2312" w:cs="仿宋_GB2312"/>
          <w:b w:val="0"/>
          <w:i w:val="0"/>
          <w:caps w:val="0"/>
          <w:color w:val="333333"/>
          <w:spacing w:val="0"/>
          <w:sz w:val="32"/>
          <w:szCs w:val="32"/>
          <w:lang w:eastAsia="zh-CN"/>
        </w:rPr>
        <w:t>等</w:t>
      </w:r>
      <w:r>
        <w:rPr>
          <w:rFonts w:hint="eastAsia" w:ascii="仿宋" w:hAnsi="仿宋" w:eastAsia="仿宋" w:cs="仿宋_GB2312"/>
          <w:sz w:val="32"/>
          <w:szCs w:val="32"/>
        </w:rPr>
        <w:t>，主要支出项目(按项级科目分类统计)包括：</w:t>
      </w:r>
    </w:p>
    <w:p>
      <w:pPr>
        <w:pBdr>
          <w:bottom w:val="single" w:color="FFFFFF" w:sz="4" w:space="31"/>
        </w:pBdr>
        <w:tabs>
          <w:tab w:val="left" w:pos="1440"/>
        </w:tabs>
        <w:spacing w:line="560" w:lineRule="exact"/>
        <w:ind w:firstLine="640" w:firstLineChars="200"/>
        <w:rPr>
          <w:rFonts w:hint="eastAsia" w:ascii="仿宋_GB2312" w:eastAsia="仿宋_GB2312" w:cs="仿宋_GB2312"/>
          <w:sz w:val="32"/>
          <w:szCs w:val="32"/>
        </w:rPr>
      </w:pPr>
      <w:r>
        <w:rPr>
          <w:rFonts w:hint="eastAsia" w:ascii="仿宋_GB2312" w:hAnsi="仿宋" w:eastAsia="仿宋_GB2312" w:cs="仿宋_GB2312"/>
          <w:sz w:val="32"/>
          <w:szCs w:val="32"/>
        </w:rPr>
        <w:t>（一）行政运行（科目编码</w:t>
      </w:r>
      <w:r>
        <w:rPr>
          <w:rFonts w:ascii="仿宋_GB2312" w:hAnsi="仿宋" w:eastAsia="仿宋_GB2312" w:cs="仿宋_GB2312"/>
          <w:sz w:val="32"/>
          <w:szCs w:val="32"/>
        </w:rPr>
        <w:t>2013101</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196.74</w:t>
      </w:r>
      <w:r>
        <w:rPr>
          <w:rFonts w:hint="eastAsia" w:ascii="仿宋_GB2312" w:hAnsi="仿宋" w:eastAsia="仿宋_GB2312" w:cs="仿宋_GB2312"/>
          <w:sz w:val="32"/>
          <w:szCs w:val="32"/>
        </w:rPr>
        <w:t>万元。主要用于在职人员的基本工资、津贴补贴、通讯补助等支出。</w:t>
      </w:r>
    </w:p>
    <w:p>
      <w:pPr>
        <w:pBdr>
          <w:bottom w:val="single" w:color="FFFFFF" w:sz="4" w:space="31"/>
        </w:pBdr>
        <w:tabs>
          <w:tab w:val="left" w:pos="1440"/>
        </w:tabs>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（二）专项业务经费（科目编码</w:t>
      </w:r>
      <w:r>
        <w:rPr>
          <w:rFonts w:ascii="仿宋_GB2312" w:hAnsi="仿宋" w:eastAsia="仿宋_GB2312" w:cs="仿宋_GB2312"/>
          <w:sz w:val="32"/>
          <w:szCs w:val="32"/>
        </w:rPr>
        <w:t>2013105</w:t>
      </w:r>
      <w:r>
        <w:rPr>
          <w:rFonts w:hint="eastAsia" w:ascii="仿宋_GB2312" w:hAnsi="仿宋" w:eastAsia="仿宋_GB2312" w:cs="仿宋_GB2312"/>
          <w:sz w:val="32"/>
          <w:szCs w:val="32"/>
        </w:rPr>
        <w:t>）5</w:t>
      </w:r>
      <w:r>
        <w:rPr>
          <w:rFonts w:hint="eastAsia" w:ascii="仿宋_GB2312" w:hAnsi="仿宋" w:eastAsia="仿宋_GB2312" w:cs="仿宋_GB2312"/>
          <w:sz w:val="32"/>
          <w:szCs w:val="32"/>
          <w:lang w:val="en-US" w:eastAsia="zh-CN"/>
        </w:rPr>
        <w:t>3.01</w:t>
      </w:r>
      <w:r>
        <w:rPr>
          <w:rFonts w:hint="eastAsia" w:ascii="仿宋_GB2312" w:hAnsi="仿宋" w:eastAsia="仿宋_GB2312" w:cs="仿宋_GB2312"/>
          <w:sz w:val="32"/>
          <w:szCs w:val="32"/>
        </w:rPr>
        <w:t>万元。主要用于开展专项工作的经费。</w:t>
      </w:r>
    </w:p>
    <w:p>
      <w:pPr>
        <w:pBdr>
          <w:bottom w:val="single" w:color="FFFFFF" w:sz="4" w:space="31"/>
        </w:pBdr>
        <w:tabs>
          <w:tab w:val="left" w:pos="1440"/>
        </w:tabs>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（三）归口管理的行政单位离退休（科目编码</w:t>
      </w:r>
      <w:r>
        <w:rPr>
          <w:rFonts w:ascii="仿宋_GB2312" w:hAnsi="仿宋" w:eastAsia="仿宋_GB2312" w:cs="仿宋_GB2312"/>
          <w:sz w:val="32"/>
          <w:szCs w:val="32"/>
        </w:rPr>
        <w:t>2080501</w:t>
      </w:r>
      <w:r>
        <w:rPr>
          <w:rFonts w:hint="eastAsia" w:ascii="仿宋_GB2312" w:hAnsi="仿宋" w:eastAsia="仿宋_GB2312" w:cs="仿宋_GB2312"/>
          <w:sz w:val="32"/>
          <w:szCs w:val="32"/>
        </w:rPr>
        <w:t>）0.</w:t>
      </w:r>
      <w:r>
        <w:rPr>
          <w:rFonts w:hint="eastAsia" w:ascii="仿宋_GB2312" w:hAnsi="仿宋" w:eastAsia="仿宋_GB2312" w:cs="仿宋_GB2312"/>
          <w:sz w:val="32"/>
          <w:szCs w:val="32"/>
          <w:lang w:val="en-US" w:eastAsia="zh-CN"/>
        </w:rPr>
        <w:t>54</w:t>
      </w:r>
      <w:r>
        <w:rPr>
          <w:rFonts w:hint="eastAsia" w:ascii="仿宋_GB2312" w:hAnsi="仿宋" w:eastAsia="仿宋_GB2312" w:cs="仿宋_GB2312"/>
          <w:sz w:val="32"/>
          <w:szCs w:val="32"/>
        </w:rPr>
        <w:t>万元。主要用于退休人员的公务和福利支出。</w:t>
      </w:r>
    </w:p>
    <w:p>
      <w:pPr>
        <w:pBdr>
          <w:bottom w:val="single" w:color="FFFFFF" w:sz="4" w:space="31"/>
        </w:pBdr>
        <w:tabs>
          <w:tab w:val="left" w:pos="1440"/>
        </w:tabs>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（四）机关事业单位基本养老保险缴费支出（科目编码</w:t>
      </w:r>
      <w:r>
        <w:rPr>
          <w:rFonts w:ascii="仿宋_GB2312" w:hAnsi="仿宋" w:eastAsia="仿宋_GB2312" w:cs="仿宋_GB2312"/>
          <w:sz w:val="32"/>
          <w:szCs w:val="32"/>
        </w:rPr>
        <w:t>2080505</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24.99</w:t>
      </w:r>
      <w:r>
        <w:rPr>
          <w:rFonts w:hint="eastAsia" w:ascii="仿宋_GB2312" w:hAnsi="仿宋" w:eastAsia="仿宋_GB2312" w:cs="仿宋_GB2312"/>
          <w:sz w:val="32"/>
          <w:szCs w:val="32"/>
        </w:rPr>
        <w:t>万元，主要用于在职人员的养老保险支出。</w:t>
      </w:r>
    </w:p>
    <w:p>
      <w:pPr>
        <w:pBdr>
          <w:bottom w:val="single" w:color="FFFFFF" w:sz="4" w:space="31"/>
        </w:pBdr>
        <w:tabs>
          <w:tab w:val="left" w:pos="1440"/>
        </w:tabs>
        <w:spacing w:line="560" w:lineRule="exact"/>
        <w:ind w:firstLine="640" w:firstLineChars="200"/>
        <w:rPr>
          <w:rFonts w:hint="eastAsia" w:ascii="仿宋_GB2312" w:eastAsia="仿宋_GB2312" w:cs="仿宋_GB2312"/>
          <w:sz w:val="32"/>
          <w:szCs w:val="32"/>
        </w:rPr>
      </w:pPr>
      <w:r>
        <w:rPr>
          <w:rFonts w:hint="eastAsia" w:ascii="仿宋_GB2312" w:hAnsi="仿宋" w:eastAsia="仿宋_GB2312" w:cs="仿宋_GB2312"/>
          <w:sz w:val="32"/>
          <w:szCs w:val="32"/>
        </w:rPr>
        <w:t>（五）行政单位医疗（科目编码</w:t>
      </w:r>
      <w:r>
        <w:rPr>
          <w:rFonts w:ascii="仿宋_GB2312" w:hAnsi="仿宋" w:eastAsia="仿宋_GB2312" w:cs="仿宋_GB2312"/>
          <w:sz w:val="32"/>
          <w:szCs w:val="32"/>
        </w:rPr>
        <w:t>2101101</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11.95</w:t>
      </w:r>
      <w:r>
        <w:rPr>
          <w:rFonts w:hint="eastAsia" w:ascii="仿宋_GB2312" w:hAnsi="仿宋" w:eastAsia="仿宋_GB2312" w:cs="仿宋_GB2312"/>
          <w:sz w:val="32"/>
          <w:szCs w:val="32"/>
        </w:rPr>
        <w:t>万元。</w:t>
      </w:r>
      <w:r>
        <w:rPr>
          <w:rFonts w:hint="eastAsia" w:ascii="仿宋_GB2312" w:eastAsia="仿宋_GB2312" w:cs="仿宋_GB2312"/>
          <w:sz w:val="32"/>
          <w:szCs w:val="32"/>
        </w:rPr>
        <w:t>主要用于医疗保障支出。</w:t>
      </w:r>
    </w:p>
    <w:p>
      <w:pPr>
        <w:pBdr>
          <w:bottom w:val="single" w:color="FFFFFF" w:sz="4" w:space="31"/>
        </w:pBdr>
        <w:tabs>
          <w:tab w:val="left" w:pos="1440"/>
        </w:tabs>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（六）公务员医疗补助（科目编码</w:t>
      </w:r>
      <w:r>
        <w:rPr>
          <w:rFonts w:ascii="仿宋_GB2312" w:hAnsi="仿宋" w:eastAsia="仿宋_GB2312" w:cs="仿宋_GB2312"/>
          <w:sz w:val="32"/>
          <w:szCs w:val="32"/>
        </w:rPr>
        <w:t>2101103</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2.99</w:t>
      </w:r>
      <w:r>
        <w:rPr>
          <w:rFonts w:hint="eastAsia" w:ascii="仿宋_GB2312" w:hAnsi="仿宋" w:eastAsia="仿宋_GB2312" w:cs="仿宋_GB2312"/>
          <w:sz w:val="32"/>
          <w:szCs w:val="32"/>
        </w:rPr>
        <w:t>万元。主要用于在职人员的医疗补助。</w:t>
      </w:r>
    </w:p>
    <w:p>
      <w:pPr>
        <w:pBdr>
          <w:bottom w:val="single" w:color="FFFFFF" w:sz="4" w:space="31"/>
        </w:pBdr>
        <w:tabs>
          <w:tab w:val="left" w:pos="1440"/>
        </w:tabs>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（七）住房公积金（科目编码</w:t>
      </w:r>
      <w:r>
        <w:rPr>
          <w:rFonts w:ascii="仿宋_GB2312" w:hAnsi="仿宋" w:eastAsia="仿宋_GB2312" w:cs="仿宋_GB2312"/>
          <w:sz w:val="32"/>
          <w:szCs w:val="32"/>
        </w:rPr>
        <w:t>2210201</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17.92</w:t>
      </w:r>
      <w:r>
        <w:rPr>
          <w:rFonts w:hint="eastAsia" w:ascii="仿宋_GB2312" w:hAnsi="仿宋" w:eastAsia="仿宋_GB2312" w:cs="仿宋_GB2312"/>
          <w:sz w:val="32"/>
          <w:szCs w:val="32"/>
        </w:rPr>
        <w:t>万元。主要用于</w:t>
      </w:r>
      <w:r>
        <w:rPr>
          <w:rFonts w:hint="eastAsia" w:ascii="仿宋_GB2312" w:eastAsia="仿宋_GB2312" w:cs="仿宋_GB2312"/>
          <w:sz w:val="32"/>
          <w:szCs w:val="32"/>
        </w:rPr>
        <w:t>住房保障</w:t>
      </w:r>
      <w:r>
        <w:rPr>
          <w:rFonts w:hint="eastAsia" w:ascii="仿宋_GB2312" w:hAnsi="仿宋" w:eastAsia="仿宋_GB2312" w:cs="仿宋_GB2312"/>
          <w:sz w:val="32"/>
          <w:szCs w:val="32"/>
        </w:rPr>
        <w:t>支出。</w:t>
      </w:r>
    </w:p>
    <w:p>
      <w:pPr>
        <w:pBdr>
          <w:bottom w:val="single" w:color="FFFFFF" w:sz="4" w:space="31"/>
        </w:pBdr>
        <w:tabs>
          <w:tab w:val="left" w:pos="1440"/>
        </w:tabs>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（八）其他党委办公厅（室）及相关机构事务支出（科目编码2013199）3万元。主要用于</w:t>
      </w:r>
      <w:r>
        <w:rPr>
          <w:rFonts w:hint="eastAsia" w:ascii="仿宋_GB2312" w:eastAsia="仿宋_GB2312" w:cs="仿宋_GB2312"/>
          <w:sz w:val="32"/>
          <w:szCs w:val="32"/>
        </w:rPr>
        <w:t>机构编制网络维护经费</w:t>
      </w:r>
      <w:r>
        <w:rPr>
          <w:rFonts w:hint="eastAsia" w:ascii="仿宋_GB2312" w:hAnsi="仿宋" w:eastAsia="仿宋_GB2312" w:cs="仿宋_GB2312"/>
          <w:sz w:val="32"/>
          <w:szCs w:val="32"/>
        </w:rPr>
        <w:t>支出。</w:t>
      </w:r>
    </w:p>
    <w:p>
      <w:pPr>
        <w:tabs>
          <w:tab w:val="left" w:pos="7513"/>
        </w:tabs>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三、政府性基金预算拨款支出情况</w:t>
      </w:r>
    </w:p>
    <w:p>
      <w:pPr>
        <w:tabs>
          <w:tab w:val="left" w:pos="7513"/>
        </w:tabs>
        <w:adjustRightInd w:val="0"/>
        <w:snapToGrid w:val="0"/>
        <w:spacing w:line="600" w:lineRule="exact"/>
        <w:ind w:firstLine="640" w:firstLineChars="200"/>
        <w:rPr>
          <w:rFonts w:hint="eastAsia" w:ascii="仿宋_GB2312" w:hAnsi="楷体" w:eastAsia="仿宋_GB2312" w:cs="仿宋_GB2312"/>
          <w:sz w:val="32"/>
          <w:szCs w:val="32"/>
          <w:lang w:val="en-US" w:eastAsia="zh-CN"/>
        </w:rPr>
      </w:pPr>
      <w:r>
        <w:rPr>
          <w:rFonts w:hint="eastAsia" w:ascii="仿宋_GB2312" w:hAnsi="楷体" w:eastAsia="仿宋_GB2312" w:cs="仿宋_GB2312"/>
          <w:sz w:val="32"/>
          <w:szCs w:val="32"/>
        </w:rPr>
        <w:t>20</w:t>
      </w:r>
      <w:r>
        <w:rPr>
          <w:rFonts w:hint="eastAsia" w:ascii="仿宋_GB2312" w:hAnsi="楷体" w:eastAsia="仿宋_GB2312" w:cs="仿宋_GB2312"/>
          <w:sz w:val="32"/>
          <w:szCs w:val="32"/>
          <w:lang w:val="en-US" w:eastAsia="zh-CN"/>
        </w:rPr>
        <w:t>20</w:t>
      </w:r>
      <w:r>
        <w:rPr>
          <w:rFonts w:hint="eastAsia" w:ascii="仿宋_GB2312" w:hAnsi="楷体" w:eastAsia="仿宋_GB2312" w:cs="仿宋_GB2312"/>
          <w:sz w:val="32"/>
          <w:szCs w:val="32"/>
        </w:rPr>
        <w:t>年政府性基金预算拨款支出为0万元，与上年持平，本单位</w:t>
      </w:r>
      <w:r>
        <w:rPr>
          <w:rFonts w:hint="eastAsia" w:ascii="仿宋_GB2312" w:hAnsi="楷体" w:eastAsia="仿宋_GB2312" w:cs="仿宋_GB2312"/>
          <w:sz w:val="32"/>
          <w:szCs w:val="32"/>
          <w:lang w:val="en-US" w:eastAsia="zh-CN"/>
        </w:rPr>
        <w:t>2020</w:t>
      </w:r>
      <w:r>
        <w:rPr>
          <w:rFonts w:hint="eastAsia" w:ascii="仿宋_GB2312" w:hAnsi="楷体" w:eastAsia="仿宋_GB2312" w:cs="仿宋_GB2312"/>
          <w:sz w:val="32"/>
          <w:szCs w:val="32"/>
        </w:rPr>
        <w:t>年度没有使用政府性基金预算拨款安排的支出。</w:t>
      </w:r>
      <w:r>
        <w:rPr>
          <w:rFonts w:hint="eastAsia" w:ascii="仿宋_GB2312" w:hAnsi="楷体" w:eastAsia="仿宋_GB2312" w:cs="仿宋_GB2312"/>
          <w:sz w:val="32"/>
          <w:szCs w:val="32"/>
          <w:lang w:val="en-US" w:eastAsia="zh-CN"/>
        </w:rPr>
        <w:t xml:space="preserve">    </w:t>
      </w:r>
    </w:p>
    <w:p>
      <w:pPr>
        <w:tabs>
          <w:tab w:val="left" w:pos="7513"/>
        </w:tabs>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四、财政拨款预算基本支出情况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2020</w:t>
      </w:r>
      <w:r>
        <w:rPr>
          <w:rFonts w:hint="eastAsia" w:ascii="仿宋" w:hAnsi="仿宋" w:eastAsia="仿宋" w:cs="仿宋_GB2312"/>
          <w:sz w:val="32"/>
          <w:szCs w:val="32"/>
        </w:rPr>
        <w:t>年度财政拨款基本支出</w:t>
      </w:r>
      <w:r>
        <w:rPr>
          <w:rFonts w:hint="eastAsia" w:ascii="仿宋" w:hAnsi="仿宋" w:eastAsia="仿宋" w:cs="仿宋_GB2312"/>
          <w:sz w:val="32"/>
          <w:szCs w:val="32"/>
          <w:lang w:val="en-US" w:eastAsia="zh-CN"/>
        </w:rPr>
        <w:t>255.13</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218.28</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36.49</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tabs>
          <w:tab w:val="left" w:pos="7513"/>
        </w:tabs>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五、一般公共预算“三公”经费支出情况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numPr>
          <w:ilvl w:val="0"/>
          <w:numId w:val="0"/>
        </w:numPr>
        <w:pBdr>
          <w:bottom w:val="single" w:color="FFFFFF" w:sz="4" w:space="31"/>
        </w:pBdr>
        <w:tabs>
          <w:tab w:val="left" w:pos="1440"/>
        </w:tabs>
        <w:spacing w:line="560" w:lineRule="exact"/>
        <w:ind w:firstLine="640" w:firstLineChars="200"/>
        <w:rPr>
          <w:rFonts w:hint="eastAsia" w:ascii="仿宋_GB2312" w:eastAsia="仿宋_GB2312" w:cs="仿宋_GB2312"/>
          <w:sz w:val="32"/>
          <w:szCs w:val="32"/>
        </w:rPr>
      </w:pPr>
      <w:r>
        <w:rPr>
          <w:rFonts w:hint="eastAsia"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宋体"/>
          <w:kern w:val="0"/>
          <w:sz w:val="32"/>
          <w:szCs w:val="32"/>
        </w:rPr>
        <w:t>年预算安排</w:t>
      </w:r>
      <w:r>
        <w:rPr>
          <w:rFonts w:hint="eastAsia" w:ascii="仿宋_GB2312" w:hAnsi="仿宋" w:eastAsia="仿宋_GB2312" w:cs="仿宋_GB2312"/>
          <w:kern w:val="0"/>
          <w:sz w:val="32"/>
          <w:szCs w:val="32"/>
        </w:rPr>
        <w:t>0</w:t>
      </w:r>
      <w:r>
        <w:rPr>
          <w:rFonts w:hint="eastAsia" w:ascii="仿宋_GB2312" w:hAnsi="仿宋" w:eastAsia="仿宋_GB2312" w:cs="宋体"/>
          <w:kern w:val="0"/>
          <w:sz w:val="32"/>
          <w:szCs w:val="32"/>
        </w:rPr>
        <w:t>万元。</w:t>
      </w:r>
      <w:r>
        <w:rPr>
          <w:rFonts w:hint="eastAsia" w:ascii="仿宋_GB2312" w:eastAsia="仿宋_GB2312" w:cs="仿宋_GB2312"/>
          <w:sz w:val="32"/>
          <w:szCs w:val="32"/>
        </w:rPr>
        <w:t>与上年持平，主要原因是没有此项支出。</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numPr>
          <w:ilvl w:val="0"/>
          <w:numId w:val="0"/>
        </w:numPr>
        <w:pBdr>
          <w:bottom w:val="single" w:color="FFFFFF" w:sz="4" w:space="31"/>
        </w:pBdr>
        <w:tabs>
          <w:tab w:val="left" w:pos="1440"/>
        </w:tabs>
        <w:spacing w:line="560" w:lineRule="exact"/>
        <w:ind w:firstLine="640" w:firstLineChars="200"/>
        <w:rPr>
          <w:rFonts w:hint="eastAsia" w:ascii="仿宋_GB2312" w:eastAsia="仿宋_GB2312" w:cs="仿宋_GB2312"/>
          <w:sz w:val="32"/>
          <w:szCs w:val="32"/>
        </w:rPr>
      </w:pPr>
      <w:r>
        <w:rPr>
          <w:rFonts w:hint="eastAsia"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宋体"/>
          <w:kern w:val="0"/>
          <w:sz w:val="32"/>
          <w:szCs w:val="32"/>
        </w:rPr>
        <w:t>年预算安排</w:t>
      </w:r>
      <w:r>
        <w:rPr>
          <w:rFonts w:hint="eastAsia" w:ascii="仿宋_GB2312" w:hAnsi="仿宋" w:eastAsia="仿宋_GB2312" w:cs="仿宋_GB2312"/>
          <w:kern w:val="0"/>
          <w:sz w:val="32"/>
          <w:szCs w:val="32"/>
        </w:rPr>
        <w:t>1</w:t>
      </w:r>
      <w:r>
        <w:rPr>
          <w:rFonts w:hint="eastAsia" w:ascii="仿宋_GB2312" w:hAnsi="仿宋" w:eastAsia="仿宋_GB2312" w:cs="宋体"/>
          <w:kern w:val="0"/>
          <w:sz w:val="32"/>
          <w:szCs w:val="32"/>
        </w:rPr>
        <w:t>万元。主要用于</w:t>
      </w:r>
      <w:r>
        <w:rPr>
          <w:rFonts w:hint="eastAsia" w:ascii="仿宋_GB2312" w:eastAsia="仿宋_GB2312" w:cs="仿宋_GB2312"/>
          <w:sz w:val="32"/>
          <w:szCs w:val="32"/>
        </w:rPr>
        <w:t>开展公务活动等方面的接待</w:t>
      </w:r>
      <w:r>
        <w:rPr>
          <w:rFonts w:hint="eastAsia" w:ascii="仿宋_GB2312" w:hAnsi="仿宋" w:eastAsia="仿宋_GB2312" w:cs="宋体"/>
          <w:kern w:val="0"/>
          <w:sz w:val="32"/>
          <w:szCs w:val="32"/>
        </w:rPr>
        <w:t>活动。</w:t>
      </w:r>
      <w:r>
        <w:rPr>
          <w:rFonts w:hint="eastAsia" w:ascii="仿宋_GB2312" w:eastAsia="仿宋_GB2312" w:cs="仿宋_GB2312"/>
          <w:sz w:val="32"/>
          <w:szCs w:val="32"/>
        </w:rPr>
        <w:t>与上年持平。</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hint="eastAsia" w:ascii="仿宋" w:hAnsi="仿宋" w:eastAsia="仿宋_GB2312"/>
          <w:sz w:val="32"/>
          <w:szCs w:val="32"/>
          <w:lang w:eastAsia="zh-CN"/>
        </w:rPr>
      </w:pPr>
      <w:r>
        <w:rPr>
          <w:rFonts w:hint="eastAsia" w:ascii="仿宋" w:hAnsi="仿宋" w:eastAsia="仿宋" w:cs="仿宋_GB2312"/>
          <w:kern w:val="0"/>
          <w:sz w:val="32"/>
          <w:szCs w:val="32"/>
          <w:lang w:val="en-US" w:eastAsia="zh-CN"/>
        </w:rPr>
        <w:t>2020</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万元，其中：公车运行费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万元，公车购置费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ascii="仿宋_GB2312" w:hAnsi="宋体" w:eastAsia="仿宋_GB2312" w:cs="仿宋_GB2312"/>
          <w:b w:val="0"/>
          <w:i w:val="0"/>
          <w:caps w:val="0"/>
          <w:color w:val="333333"/>
          <w:spacing w:val="0"/>
          <w:sz w:val="32"/>
          <w:szCs w:val="32"/>
        </w:rPr>
        <w:t>与上年相比支出下降</w:t>
      </w:r>
      <w:r>
        <w:rPr>
          <w:rFonts w:hint="eastAsia" w:ascii="仿宋_GB2312" w:hAnsi="宋体" w:eastAsia="仿宋_GB2312" w:cs="仿宋_GB2312"/>
          <w:b w:val="0"/>
          <w:i w:val="0"/>
          <w:caps w:val="0"/>
          <w:color w:val="333333"/>
          <w:spacing w:val="0"/>
          <w:sz w:val="32"/>
          <w:szCs w:val="32"/>
          <w:lang w:val="en-US" w:eastAsia="zh-CN"/>
        </w:rPr>
        <w:t>100</w:t>
      </w:r>
      <w:r>
        <w:rPr>
          <w:rFonts w:hint="eastAsia" w:ascii="仿宋_GB2312" w:hAnsi="宋体" w:eastAsia="仿宋_GB2312" w:cs="仿宋_GB2312"/>
          <w:b w:val="0"/>
          <w:i w:val="0"/>
          <w:caps w:val="0"/>
          <w:color w:val="333333"/>
          <w:spacing w:val="0"/>
          <w:sz w:val="32"/>
          <w:szCs w:val="32"/>
        </w:rPr>
        <w:t>%，主要原因是</w:t>
      </w:r>
      <w:r>
        <w:rPr>
          <w:rFonts w:ascii="Calibri" w:hAnsi="Calibri" w:eastAsia="仿宋_GB2312" w:cs="Calibri"/>
          <w:b w:val="0"/>
          <w:i w:val="0"/>
          <w:caps w:val="0"/>
          <w:color w:val="333333"/>
          <w:spacing w:val="0"/>
          <w:sz w:val="32"/>
          <w:szCs w:val="32"/>
        </w:rPr>
        <w:t>:</w:t>
      </w:r>
      <w:r>
        <w:rPr>
          <w:rFonts w:hint="eastAsia" w:ascii="Calibri" w:hAnsi="Calibri" w:eastAsia="仿宋_GB2312" w:cs="Calibri"/>
          <w:b w:val="0"/>
          <w:i w:val="0"/>
          <w:caps w:val="0"/>
          <w:color w:val="333333"/>
          <w:spacing w:val="0"/>
          <w:sz w:val="32"/>
          <w:szCs w:val="32"/>
          <w:lang w:eastAsia="zh-CN"/>
        </w:rPr>
        <w:t>本单位已进行公车改革，已将公务用车租车费等纳入其他交通费用预算中。</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六、预算绩效目标情况</w:t>
      </w:r>
    </w:p>
    <w:p>
      <w:pPr>
        <w:spacing w:line="60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60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2020</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宁德市委编办</w:t>
      </w:r>
      <w:r>
        <w:rPr>
          <w:rFonts w:hint="eastAsia" w:ascii="仿宋" w:hAnsi="仿宋" w:eastAsia="仿宋" w:cs="仿宋_GB2312"/>
          <w:kern w:val="0"/>
          <w:sz w:val="32"/>
          <w:szCs w:val="32"/>
        </w:rPr>
        <w:t>共设置</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个项目绩效目标（注：包括部门业务费绩效目标和专项资金绩效目标），分别是编办业务经费</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机构编制网络维护经费项目，共涉及财政拨款资金</w:t>
      </w:r>
      <w:r>
        <w:rPr>
          <w:rFonts w:hint="eastAsia" w:ascii="仿宋" w:hAnsi="仿宋" w:eastAsia="仿宋" w:cs="仿宋_GB2312"/>
          <w:kern w:val="0"/>
          <w:sz w:val="32"/>
          <w:szCs w:val="32"/>
          <w:lang w:val="en-US" w:eastAsia="zh-CN"/>
        </w:rPr>
        <w:t>56.01</w:t>
      </w:r>
      <w:r>
        <w:rPr>
          <w:rFonts w:hint="eastAsia" w:ascii="仿宋" w:hAnsi="仿宋" w:eastAsia="仿宋" w:cs="仿宋_GB2312"/>
          <w:kern w:val="0"/>
          <w:sz w:val="32"/>
          <w:szCs w:val="32"/>
        </w:rPr>
        <w:t>万元。</w:t>
      </w:r>
    </w:p>
    <w:p>
      <w:pPr>
        <w:spacing w:line="60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600" w:lineRule="exact"/>
        <w:ind w:firstLine="640" w:firstLineChars="200"/>
        <w:rPr>
          <w:rFonts w:hint="eastAsia" w:ascii="仿宋" w:hAnsi="仿宋" w:eastAsia="仿宋"/>
          <w:b/>
          <w:sz w:val="32"/>
          <w:szCs w:val="32"/>
        </w:rPr>
      </w:pPr>
      <w:r>
        <w:rPr>
          <w:rFonts w:ascii="仿宋_GB2312" w:hAnsi="宋体" w:eastAsia="仿宋_GB2312" w:cs="仿宋_GB2312"/>
          <w:b w:val="0"/>
          <w:i w:val="0"/>
          <w:caps w:val="0"/>
          <w:color w:val="333333"/>
          <w:spacing w:val="0"/>
          <w:sz w:val="32"/>
          <w:szCs w:val="32"/>
        </w:rPr>
        <w:t>2020</w:t>
      </w:r>
      <w:r>
        <w:rPr>
          <w:rFonts w:hint="eastAsia" w:ascii="仿宋_GB2312" w:hAnsi="宋体" w:eastAsia="仿宋_GB2312" w:cs="仿宋_GB2312"/>
          <w:b w:val="0"/>
          <w:i w:val="0"/>
          <w:caps w:val="0"/>
          <w:color w:val="333333"/>
          <w:spacing w:val="0"/>
          <w:sz w:val="32"/>
          <w:szCs w:val="32"/>
        </w:rPr>
        <w:t>年绩效目标表尚未批复，待批复后另行公开。</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七、其他重要事项说明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hint="eastAsia" w:ascii="黑体" w:hAnsi="黑体" w:eastAsia="仿宋"/>
          <w:color w:val="FF0000"/>
          <w:sz w:val="32"/>
          <w:szCs w:val="32"/>
          <w:lang w:val="en-US" w:eastAsia="zh-CN"/>
        </w:rPr>
      </w:pPr>
      <w:r>
        <w:rPr>
          <w:rFonts w:hint="eastAsia"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sz w:val="32"/>
          <w:szCs w:val="32"/>
        </w:rPr>
        <w:t>年宁德市委编办一般公共预算拨款安排的机关运行经费支出</w:t>
      </w:r>
      <w:r>
        <w:rPr>
          <w:rFonts w:hint="eastAsia" w:ascii="仿宋_GB2312" w:hAnsi="仿宋" w:eastAsia="仿宋_GB2312"/>
          <w:sz w:val="32"/>
          <w:szCs w:val="32"/>
          <w:lang w:val="en-US" w:eastAsia="zh-CN"/>
        </w:rPr>
        <w:t>36.49</w:t>
      </w:r>
      <w:r>
        <w:rPr>
          <w:rFonts w:hint="eastAsia" w:ascii="仿宋" w:hAnsi="仿宋" w:eastAsia="仿宋"/>
          <w:sz w:val="32"/>
          <w:szCs w:val="32"/>
        </w:rPr>
        <w:t>万元，比</w:t>
      </w:r>
      <w:r>
        <w:rPr>
          <w:rFonts w:hint="eastAsia" w:ascii="仿宋" w:hAnsi="仿宋" w:eastAsia="仿宋" w:cs="仿宋_GB2312"/>
          <w:sz w:val="32"/>
          <w:szCs w:val="32"/>
          <w:lang w:val="en-US" w:eastAsia="zh-CN"/>
        </w:rPr>
        <w:t>2019</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1.61</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pBdr>
          <w:bottom w:val="single" w:color="FFFFFF" w:sz="4" w:space="31"/>
        </w:pBdr>
        <w:tabs>
          <w:tab w:val="left" w:pos="1440"/>
        </w:tabs>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cs="仿宋_GB2312"/>
          <w:sz w:val="32"/>
          <w:szCs w:val="32"/>
        </w:rPr>
        <w:t>宁德市委编办</w:t>
      </w:r>
      <w:r>
        <w:rPr>
          <w:rFonts w:hint="eastAsia" w:ascii="仿宋_GB2312" w:hAnsi="仿宋" w:eastAsia="仿宋_GB2312"/>
          <w:sz w:val="32"/>
          <w:szCs w:val="32"/>
        </w:rPr>
        <w:t>政府采购预算总额</w:t>
      </w:r>
      <w:r>
        <w:rPr>
          <w:rFonts w:hint="eastAsia" w:ascii="仿宋_GB2312" w:hAnsi="仿宋" w:eastAsia="仿宋_GB2312" w:cs="仿宋_GB2312"/>
          <w:kern w:val="0"/>
          <w:sz w:val="32"/>
          <w:szCs w:val="32"/>
        </w:rPr>
        <w:t>0万元，其中：政府购买服务项目</w:t>
      </w:r>
      <w:r>
        <w:rPr>
          <w:rFonts w:hint="eastAsia" w:ascii="仿宋_GB2312" w:hAnsi="仿宋" w:eastAsia="仿宋_GB2312"/>
          <w:sz w:val="32"/>
          <w:szCs w:val="32"/>
        </w:rPr>
        <w:t>采购预算额</w:t>
      </w:r>
      <w:r>
        <w:rPr>
          <w:rFonts w:hint="eastAsia" w:ascii="仿宋_GB2312" w:hAnsi="仿宋" w:eastAsia="仿宋_GB2312" w:cs="仿宋_GB2312"/>
          <w:kern w:val="0"/>
          <w:sz w:val="32"/>
          <w:szCs w:val="32"/>
        </w:rPr>
        <w:t>0万元。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pBdr>
          <w:bottom w:val="single" w:color="FFFFFF" w:sz="4" w:space="31"/>
        </w:pBdr>
        <w:tabs>
          <w:tab w:val="left" w:pos="1440"/>
        </w:tabs>
        <w:spacing w:line="56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2020</w:t>
      </w:r>
      <w:r>
        <w:rPr>
          <w:rFonts w:hint="eastAsia" w:ascii="仿宋" w:hAnsi="仿宋" w:eastAsia="仿宋" w:cs="仿宋_GB2312"/>
          <w:kern w:val="0"/>
          <w:sz w:val="32"/>
          <w:szCs w:val="32"/>
        </w:rPr>
        <w:t>年底，</w:t>
      </w:r>
      <w:r>
        <w:rPr>
          <w:rFonts w:hint="eastAsia" w:ascii="仿宋_GB2312" w:hAnsi="仿宋" w:eastAsia="仿宋_GB2312" w:cs="仿宋_GB2312"/>
          <w:kern w:val="0"/>
          <w:sz w:val="32"/>
          <w:szCs w:val="32"/>
        </w:rPr>
        <w:t>宁德市委编办</w:t>
      </w:r>
      <w:r>
        <w:rPr>
          <w:rFonts w:hint="eastAsia" w:ascii="仿宋_GB2312" w:hAnsi="仿宋" w:eastAsia="仿宋_GB2312"/>
          <w:sz w:val="32"/>
          <w:szCs w:val="32"/>
        </w:rPr>
        <w:t>本级及所属的预算单位</w:t>
      </w:r>
      <w:r>
        <w:rPr>
          <w:rFonts w:hint="eastAsia" w:ascii="仿宋" w:hAnsi="仿宋" w:eastAsia="仿宋"/>
          <w:sz w:val="32"/>
          <w:szCs w:val="32"/>
        </w:rPr>
        <w:t>共有车辆</w:t>
      </w:r>
      <w:r>
        <w:rPr>
          <w:rFonts w:hint="eastAsia" w:ascii="仿宋" w:hAnsi="仿宋" w:eastAsia="仿宋" w:cs="仿宋_GB2312"/>
          <w:kern w:val="0"/>
          <w:sz w:val="32"/>
          <w:szCs w:val="32"/>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rPr>
        <w:t>0</w:t>
      </w:r>
      <w:r>
        <w:rPr>
          <w:rFonts w:hint="eastAsia" w:ascii="仿宋" w:hAnsi="仿宋" w:eastAsia="仿宋"/>
          <w:sz w:val="32"/>
          <w:szCs w:val="32"/>
        </w:rPr>
        <w:t>辆，一般公务用车</w:t>
      </w:r>
      <w:r>
        <w:rPr>
          <w:rFonts w:hint="eastAsia" w:ascii="仿宋" w:hAnsi="仿宋" w:eastAsia="仿宋" w:cs="仿宋_GB2312"/>
          <w:kern w:val="0"/>
          <w:sz w:val="32"/>
          <w:szCs w:val="32"/>
        </w:rPr>
        <w:t>0</w:t>
      </w:r>
      <w:r>
        <w:rPr>
          <w:rFonts w:hint="eastAsia" w:ascii="仿宋" w:hAnsi="仿宋" w:eastAsia="仿宋"/>
          <w:sz w:val="32"/>
          <w:szCs w:val="32"/>
        </w:rPr>
        <w:t>辆，一般执法执勤用车</w:t>
      </w:r>
      <w:r>
        <w:rPr>
          <w:rFonts w:hint="eastAsia" w:ascii="仿宋" w:hAnsi="仿宋" w:eastAsia="仿宋" w:cs="仿宋_GB2312"/>
          <w:kern w:val="0"/>
          <w:sz w:val="32"/>
          <w:szCs w:val="32"/>
        </w:rPr>
        <w:t>0</w:t>
      </w:r>
      <w:r>
        <w:rPr>
          <w:rFonts w:hint="eastAsia" w:ascii="仿宋" w:hAnsi="仿宋" w:eastAsia="仿宋"/>
          <w:sz w:val="32"/>
          <w:szCs w:val="32"/>
        </w:rPr>
        <w:t>辆，特种专业技术用车</w:t>
      </w:r>
      <w:r>
        <w:rPr>
          <w:rFonts w:hint="eastAsia" w:ascii="仿宋" w:hAnsi="仿宋" w:eastAsia="仿宋" w:cs="仿宋_GB2312"/>
          <w:kern w:val="0"/>
          <w:sz w:val="32"/>
          <w:szCs w:val="32"/>
        </w:rPr>
        <w:t>0</w:t>
      </w:r>
      <w:r>
        <w:rPr>
          <w:rFonts w:hint="eastAsia" w:ascii="仿宋" w:hAnsi="仿宋" w:eastAsia="仿宋"/>
          <w:sz w:val="32"/>
          <w:szCs w:val="32"/>
        </w:rPr>
        <w:t>辆，其他用车</w:t>
      </w:r>
      <w:r>
        <w:rPr>
          <w:rFonts w:hint="eastAsia" w:ascii="仿宋" w:hAnsi="仿宋" w:eastAsia="仿宋" w:cs="仿宋_GB2312"/>
          <w:kern w:val="0"/>
          <w:sz w:val="32"/>
          <w:szCs w:val="32"/>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rPr>
        <w:t>0台（套），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rPr>
        <w:t>0台（套）。</w:t>
      </w:r>
    </w:p>
    <w:p>
      <w:pPr>
        <w:jc w:val="center"/>
        <w:rPr>
          <w:rFonts w:asciiTheme="majorEastAsia" w:hAnsiTheme="majorEastAsia" w:eastAsiaTheme="majorEastAsia"/>
          <w:b/>
          <w:sz w:val="40"/>
        </w:rPr>
      </w:pPr>
      <w:r>
        <w:rPr>
          <w:rFonts w:hint="eastAsia" w:asciiTheme="majorEastAsia" w:hAnsiTheme="majorEastAsia" w:eastAsiaTheme="majorEastAsia"/>
          <w:b/>
          <w:sz w:val="40"/>
        </w:rPr>
        <w:t>第四部分名词解释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一、财政拨款收入：指财政当年拨付的资金。</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三、经营收入：指事业单位在专业业务活动及其辅助活动之外开展非独立核算经营活动取得的收入。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等以外的收入。主要是按规定动用的售房收入、存款利息收入等。</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五、用事业基金弥补收支差额：指事业单位在当年的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六、年初结转和结余：指以前年度尚未完成、结转到本年按有关规定继续使用的资金。</w:t>
      </w:r>
    </w:p>
    <w:p>
      <w:pPr>
        <w:pStyle w:val="12"/>
        <w:spacing w:line="600" w:lineRule="exact"/>
        <w:ind w:firstLine="640" w:firstLineChars="200"/>
        <w:rPr>
          <w:rFonts w:hAnsi="仿宋"/>
          <w:sz w:val="32"/>
          <w:szCs w:val="32"/>
        </w:rPr>
      </w:pPr>
      <w:r>
        <w:rPr>
          <w:rFonts w:hint="eastAsia" w:hAnsi="仿宋"/>
          <w:sz w:val="32"/>
          <w:szCs w:val="32"/>
        </w:rPr>
        <w:t>七、结余分配：指事业单位按规定提取的职工福利基金、事业基金和缴纳的所得税，以及建设单位按规定应交回的基本建设竣工项目结余资金。</w:t>
      </w:r>
    </w:p>
    <w:p>
      <w:pPr>
        <w:pStyle w:val="12"/>
        <w:spacing w:line="600" w:lineRule="exact"/>
        <w:ind w:firstLine="640"/>
        <w:rPr>
          <w:rFonts w:hAnsi="仿宋"/>
          <w:sz w:val="32"/>
          <w:szCs w:val="32"/>
        </w:rPr>
      </w:pPr>
      <w:r>
        <w:rPr>
          <w:rFonts w:hint="eastAsia" w:hAnsi="仿宋"/>
          <w:sz w:val="32"/>
          <w:szCs w:val="32"/>
        </w:rPr>
        <w:t>八、年末结转和结余：指本年度或以前年度预算安排、因客观条件发生变化无法按原计划实施，需延迟到以后年度按有关规定继续使用的资金。</w:t>
      </w:r>
    </w:p>
    <w:p>
      <w:pPr>
        <w:pStyle w:val="12"/>
        <w:spacing w:line="600" w:lineRule="exact"/>
        <w:ind w:firstLine="640"/>
        <w:rPr>
          <w:rFonts w:hAnsi="仿宋"/>
          <w:sz w:val="32"/>
          <w:szCs w:val="32"/>
        </w:rPr>
      </w:pPr>
      <w:r>
        <w:rPr>
          <w:rFonts w:hint="eastAsia" w:hAnsi="仿宋"/>
          <w:sz w:val="32"/>
          <w:szCs w:val="32"/>
        </w:rPr>
        <w:t>九、基本支出：指为保障机构正常运转、完成日常工作任务而发生的人员支出和公用支出。</w:t>
      </w:r>
    </w:p>
    <w:p>
      <w:pPr>
        <w:pStyle w:val="12"/>
        <w:spacing w:line="600" w:lineRule="exact"/>
        <w:ind w:firstLine="640"/>
        <w:rPr>
          <w:rFonts w:hAnsi="仿宋"/>
          <w:sz w:val="32"/>
          <w:szCs w:val="32"/>
        </w:rPr>
      </w:pPr>
      <w:r>
        <w:rPr>
          <w:rFonts w:hint="eastAsia" w:hAnsi="仿宋"/>
          <w:sz w:val="32"/>
          <w:szCs w:val="32"/>
        </w:rPr>
        <w:t>十、项目支出：指在基本支出之外为完成特定行政任务和事业发展目标所发生的支出。</w:t>
      </w:r>
    </w:p>
    <w:p>
      <w:pPr>
        <w:pStyle w:val="12"/>
        <w:spacing w:line="600" w:lineRule="exact"/>
        <w:ind w:firstLine="640"/>
        <w:rPr>
          <w:rFonts w:hAnsi="仿宋"/>
          <w:sz w:val="32"/>
          <w:szCs w:val="32"/>
        </w:rPr>
      </w:pPr>
      <w:r>
        <w:rPr>
          <w:rFonts w:hint="eastAsia" w:hAnsi="仿宋"/>
          <w:sz w:val="32"/>
          <w:szCs w:val="32"/>
        </w:rPr>
        <w:t>十一、经营支出：指事业单位在专业业务活动及其辅助活动之外开展非独立核算经营活动发生的支出。</w:t>
      </w:r>
    </w:p>
    <w:p>
      <w:pPr>
        <w:pStyle w:val="12"/>
        <w:spacing w:line="600" w:lineRule="exact"/>
        <w:ind w:firstLine="640"/>
        <w:rPr>
          <w:rFonts w:hAnsi="仿宋"/>
          <w:sz w:val="32"/>
          <w:szCs w:val="32"/>
        </w:rPr>
      </w:pPr>
      <w:r>
        <w:rPr>
          <w:rFonts w:hint="eastAsia" w:hAnsi="仿宋"/>
          <w:sz w:val="32"/>
          <w:szCs w:val="32"/>
        </w:rPr>
        <w:t>十二、</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t>
      </w:r>
    </w:p>
    <w:p>
      <w:pPr>
        <w:ind w:firstLine="640" w:firstLineChars="200"/>
        <w:jc w:val="left"/>
        <w:rPr>
          <w:rFonts w:asciiTheme="majorEastAsia" w:hAnsiTheme="majorEastAsia" w:eastAsiaTheme="majorEastAsia"/>
          <w:b/>
          <w:sz w:val="40"/>
        </w:rPr>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678027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15D7A"/>
    <w:multiLevelType w:val="singleLevel"/>
    <w:tmpl w:val="D2A15D7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17140"/>
    <w:rsid w:val="00134215"/>
    <w:rsid w:val="0014464B"/>
    <w:rsid w:val="00162161"/>
    <w:rsid w:val="00167378"/>
    <w:rsid w:val="00244E2B"/>
    <w:rsid w:val="00317140"/>
    <w:rsid w:val="00353125"/>
    <w:rsid w:val="003E23A5"/>
    <w:rsid w:val="00445C9B"/>
    <w:rsid w:val="004D696A"/>
    <w:rsid w:val="005B00AC"/>
    <w:rsid w:val="006C4713"/>
    <w:rsid w:val="00753E47"/>
    <w:rsid w:val="0075721B"/>
    <w:rsid w:val="007C60CF"/>
    <w:rsid w:val="008071E4"/>
    <w:rsid w:val="00820DBB"/>
    <w:rsid w:val="0086508D"/>
    <w:rsid w:val="00866690"/>
    <w:rsid w:val="00880C2D"/>
    <w:rsid w:val="008A73C5"/>
    <w:rsid w:val="009C7FB5"/>
    <w:rsid w:val="00A4118D"/>
    <w:rsid w:val="00A855BE"/>
    <w:rsid w:val="00BB41B6"/>
    <w:rsid w:val="00C02DE3"/>
    <w:rsid w:val="00C43C36"/>
    <w:rsid w:val="00C7095D"/>
    <w:rsid w:val="00C946C9"/>
    <w:rsid w:val="00CC6B40"/>
    <w:rsid w:val="00D64A29"/>
    <w:rsid w:val="00E05319"/>
    <w:rsid w:val="00E332A8"/>
    <w:rsid w:val="00FE6949"/>
    <w:rsid w:val="01D062F1"/>
    <w:rsid w:val="04A319C7"/>
    <w:rsid w:val="05764811"/>
    <w:rsid w:val="08322653"/>
    <w:rsid w:val="09AE32DC"/>
    <w:rsid w:val="0B3B32E4"/>
    <w:rsid w:val="0CB15D83"/>
    <w:rsid w:val="0D457A63"/>
    <w:rsid w:val="0DBD5B06"/>
    <w:rsid w:val="0DBF60CF"/>
    <w:rsid w:val="0E5A5504"/>
    <w:rsid w:val="0F071BF7"/>
    <w:rsid w:val="11EE2C71"/>
    <w:rsid w:val="14485125"/>
    <w:rsid w:val="15315A1E"/>
    <w:rsid w:val="15B7497B"/>
    <w:rsid w:val="17350C71"/>
    <w:rsid w:val="186E6EA2"/>
    <w:rsid w:val="192551EB"/>
    <w:rsid w:val="19D772D5"/>
    <w:rsid w:val="1AB56A46"/>
    <w:rsid w:val="1BC6210D"/>
    <w:rsid w:val="1CE1161A"/>
    <w:rsid w:val="1D0B76E1"/>
    <w:rsid w:val="1D46677B"/>
    <w:rsid w:val="1F8008E3"/>
    <w:rsid w:val="1F831B9F"/>
    <w:rsid w:val="20166462"/>
    <w:rsid w:val="24777642"/>
    <w:rsid w:val="247B77CB"/>
    <w:rsid w:val="24832F71"/>
    <w:rsid w:val="2543416F"/>
    <w:rsid w:val="256F0F3F"/>
    <w:rsid w:val="25BD03EE"/>
    <w:rsid w:val="25D4058D"/>
    <w:rsid w:val="26E23F3D"/>
    <w:rsid w:val="27BF44E0"/>
    <w:rsid w:val="28FE20CF"/>
    <w:rsid w:val="291F659F"/>
    <w:rsid w:val="2A4D5D6D"/>
    <w:rsid w:val="2DC2217B"/>
    <w:rsid w:val="2F791267"/>
    <w:rsid w:val="3038002C"/>
    <w:rsid w:val="314A7A3D"/>
    <w:rsid w:val="3314031D"/>
    <w:rsid w:val="33CD6A43"/>
    <w:rsid w:val="34785927"/>
    <w:rsid w:val="38CB097A"/>
    <w:rsid w:val="3A181D32"/>
    <w:rsid w:val="3A3D0B6D"/>
    <w:rsid w:val="3E540364"/>
    <w:rsid w:val="3EA03D54"/>
    <w:rsid w:val="41A53FC1"/>
    <w:rsid w:val="448A6B58"/>
    <w:rsid w:val="45737949"/>
    <w:rsid w:val="47D32FD0"/>
    <w:rsid w:val="49814874"/>
    <w:rsid w:val="4CEB155E"/>
    <w:rsid w:val="4D424BF3"/>
    <w:rsid w:val="4E9E5E09"/>
    <w:rsid w:val="52303E96"/>
    <w:rsid w:val="527F1A26"/>
    <w:rsid w:val="536E5065"/>
    <w:rsid w:val="54E05C14"/>
    <w:rsid w:val="556C0473"/>
    <w:rsid w:val="55FC35FC"/>
    <w:rsid w:val="56FB4250"/>
    <w:rsid w:val="57915C8B"/>
    <w:rsid w:val="59EF1D04"/>
    <w:rsid w:val="5AF44AD0"/>
    <w:rsid w:val="5BCD1176"/>
    <w:rsid w:val="5C146668"/>
    <w:rsid w:val="5D0A160B"/>
    <w:rsid w:val="5DDC32E4"/>
    <w:rsid w:val="5DEE02FC"/>
    <w:rsid w:val="5ED810DD"/>
    <w:rsid w:val="652241B6"/>
    <w:rsid w:val="67BB7E95"/>
    <w:rsid w:val="68494FF5"/>
    <w:rsid w:val="68C625CC"/>
    <w:rsid w:val="69100901"/>
    <w:rsid w:val="69230C4E"/>
    <w:rsid w:val="6B7C5977"/>
    <w:rsid w:val="6DFF2331"/>
    <w:rsid w:val="7218003E"/>
    <w:rsid w:val="732D3B8F"/>
    <w:rsid w:val="747725F4"/>
    <w:rsid w:val="753B4DFF"/>
    <w:rsid w:val="75F958E1"/>
    <w:rsid w:val="76EF2C3F"/>
    <w:rsid w:val="777A623D"/>
    <w:rsid w:val="779B73E8"/>
    <w:rsid w:val="78262EFA"/>
    <w:rsid w:val="795777B7"/>
    <w:rsid w:val="7A9F37C1"/>
    <w:rsid w:val="7B70062F"/>
    <w:rsid w:val="7D76307D"/>
    <w:rsid w:val="7DEF5E41"/>
    <w:rsid w:val="7E4606F2"/>
    <w:rsid w:val="7E5041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1"/>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7"/>
    <w:link w:val="3"/>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1333</Words>
  <Characters>7603</Characters>
  <Lines>63</Lines>
  <Paragraphs>17</Paragraphs>
  <TotalTime>22</TotalTime>
  <ScaleCrop>false</ScaleCrop>
  <LinksUpToDate>false</LinksUpToDate>
  <CharactersWithSpaces>8919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z</cp:lastModifiedBy>
  <cp:lastPrinted>2020-02-05T09:26:00Z</cp:lastPrinted>
  <dcterms:modified xsi:type="dcterms:W3CDTF">2020-02-06T08:00:59Z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