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keepLines/>
        <w:adjustRightInd w:val="0"/>
        <w:spacing w:before="312" w:beforeLines="100" w:after="312" w:afterLines="100"/>
        <w:ind w:firstLine="0" w:firstLineChars="0"/>
        <w:jc w:val="center"/>
        <w:rPr>
          <w:rFonts w:ascii="黑体" w:hAnsi="黑体" w:eastAsia="黑体"/>
          <w:b w:val="0"/>
          <w:bCs w:val="0"/>
          <w:color w:val="000000"/>
          <w:kern w:val="44"/>
          <w:sz w:val="44"/>
          <w:szCs w:val="44"/>
          <w:lang w:val="zh-CN"/>
        </w:rPr>
      </w:pPr>
      <w:bookmarkStart w:id="0" w:name="_Toc42105452"/>
    </w:p>
    <w:p>
      <w:pPr>
        <w:keepNext/>
        <w:keepLines/>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方正小标宋简体" w:hAnsi="方正小标宋简体" w:eastAsia="方正小标宋简体" w:cs="方正小标宋简体"/>
          <w:b w:val="0"/>
          <w:bCs w:val="0"/>
          <w:color w:val="000000"/>
          <w:kern w:val="44"/>
          <w:sz w:val="52"/>
          <w:szCs w:val="52"/>
          <w:lang w:val="zh-CN"/>
        </w:rPr>
      </w:pPr>
    </w:p>
    <w:p>
      <w:pPr>
        <w:keepNext/>
        <w:keepLines/>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方正小标宋简体" w:hAnsi="方正小标宋简体" w:eastAsia="方正小标宋简体" w:cs="方正小标宋简体"/>
          <w:b w:val="0"/>
          <w:bCs w:val="0"/>
          <w:color w:val="000000"/>
          <w:kern w:val="44"/>
          <w:sz w:val="52"/>
          <w:szCs w:val="52"/>
          <w:lang w:val="zh-CN"/>
        </w:rPr>
      </w:pPr>
      <w:r>
        <w:rPr>
          <w:rFonts w:hint="eastAsia" w:ascii="方正小标宋简体" w:hAnsi="方正小标宋简体" w:eastAsia="方正小标宋简体" w:cs="方正小标宋简体"/>
          <w:b w:val="0"/>
          <w:bCs w:val="0"/>
          <w:color w:val="000000"/>
          <w:kern w:val="44"/>
          <w:sz w:val="52"/>
          <w:szCs w:val="52"/>
          <w:lang w:val="zh-CN"/>
        </w:rPr>
        <w:t>宁德市国民经济和社会发展</w:t>
      </w:r>
    </w:p>
    <w:p>
      <w:pPr>
        <w:keepNext/>
        <w:keepLines/>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eastAsia" w:ascii="方正小标宋简体" w:hAnsi="方正小标宋简体" w:eastAsia="方正小标宋简体" w:cs="方正小标宋简体"/>
          <w:b w:val="0"/>
          <w:bCs w:val="0"/>
          <w:color w:val="000000"/>
          <w:kern w:val="44"/>
          <w:sz w:val="52"/>
          <w:szCs w:val="52"/>
          <w:lang w:val="zh-CN"/>
        </w:rPr>
      </w:pPr>
      <w:r>
        <w:rPr>
          <w:rFonts w:hint="eastAsia" w:ascii="方正小标宋简体" w:hAnsi="方正小标宋简体" w:eastAsia="方正小标宋简体" w:cs="方正小标宋简体"/>
          <w:b w:val="0"/>
          <w:bCs w:val="0"/>
          <w:color w:val="000000"/>
          <w:kern w:val="44"/>
          <w:sz w:val="52"/>
          <w:szCs w:val="52"/>
          <w:lang w:val="zh-CN"/>
        </w:rPr>
        <w:t>第十四个五年规划和二〇三五年</w:t>
      </w:r>
    </w:p>
    <w:p>
      <w:pPr>
        <w:keepNext/>
        <w:keepLines/>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黑体" w:hAnsi="黑体" w:eastAsia="黑体"/>
          <w:b w:val="0"/>
          <w:bCs w:val="0"/>
          <w:color w:val="000000"/>
          <w:kern w:val="44"/>
          <w:sz w:val="36"/>
          <w:szCs w:val="36"/>
          <w:lang w:val="zh-CN"/>
        </w:rPr>
      </w:pPr>
      <w:r>
        <w:rPr>
          <w:rFonts w:hint="eastAsia" w:ascii="方正小标宋简体" w:hAnsi="方正小标宋简体" w:eastAsia="方正小标宋简体" w:cs="方正小标宋简体"/>
          <w:b w:val="0"/>
          <w:bCs w:val="0"/>
          <w:color w:val="000000"/>
          <w:kern w:val="44"/>
          <w:sz w:val="52"/>
          <w:szCs w:val="52"/>
          <w:lang w:val="zh-CN"/>
        </w:rPr>
        <w:t>远景目标纲要</w:t>
      </w:r>
    </w:p>
    <w:p>
      <w:pPr>
        <w:ind w:firstLine="0" w:firstLineChars="0"/>
        <w:jc w:val="center"/>
        <w:rPr>
          <w:rFonts w:hint="eastAsia" w:ascii="仿宋_GB2312" w:hAnsi="仿宋_GB2312" w:eastAsia="仿宋_GB2312" w:cs="仿宋_GB2312"/>
          <w:color w:val="000000"/>
          <w:sz w:val="32"/>
          <w:szCs w:val="32"/>
          <w:lang w:eastAsia="zh-CN"/>
        </w:rPr>
      </w:pP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2021年1月1</w:t>
      </w:r>
      <w:r>
        <w:rPr>
          <w:rFonts w:hint="eastAsia" w:ascii="仿宋_GB2312" w:hAnsi="仿宋_GB2312" w:cs="仿宋_GB2312"/>
          <w:color w:val="000000"/>
          <w:sz w:val="32"/>
          <w:szCs w:val="32"/>
          <w:lang w:val="en-US" w:eastAsia="zh-CN"/>
        </w:rPr>
        <w:t>4</w:t>
      </w:r>
      <w:r>
        <w:rPr>
          <w:rFonts w:hint="eastAsia" w:ascii="仿宋_GB2312" w:hAnsi="仿宋_GB2312" w:eastAsia="仿宋_GB2312" w:cs="仿宋_GB2312"/>
          <w:color w:val="000000"/>
          <w:sz w:val="32"/>
          <w:szCs w:val="32"/>
          <w:lang w:val="en-US" w:eastAsia="zh-CN"/>
        </w:rPr>
        <w:t>日市四届人大六次会议批准</w:t>
      </w:r>
      <w:r>
        <w:rPr>
          <w:rFonts w:hint="eastAsia" w:ascii="仿宋_GB2312" w:hAnsi="仿宋_GB2312" w:eastAsia="仿宋_GB2312" w:cs="仿宋_GB2312"/>
          <w:color w:val="000000"/>
          <w:sz w:val="32"/>
          <w:szCs w:val="32"/>
          <w:lang w:eastAsia="zh-CN"/>
        </w:rPr>
        <w:t>）</w:t>
      </w:r>
    </w:p>
    <w:p>
      <w:pPr>
        <w:ind w:firstLine="0" w:firstLineChars="0"/>
        <w:rPr>
          <w:color w:val="000000"/>
          <w:sz w:val="32"/>
          <w:szCs w:val="32"/>
        </w:rPr>
      </w:pPr>
    </w:p>
    <w:p>
      <w:pPr>
        <w:ind w:firstLine="0" w:firstLineChars="0"/>
        <w:rPr>
          <w:color w:val="000000"/>
          <w:sz w:val="32"/>
          <w:szCs w:val="32"/>
        </w:rPr>
      </w:pPr>
    </w:p>
    <w:p>
      <w:pPr>
        <w:ind w:firstLine="0" w:firstLineChars="0"/>
        <w:rPr>
          <w:color w:val="000000"/>
          <w:sz w:val="32"/>
          <w:szCs w:val="32"/>
        </w:rPr>
      </w:pPr>
    </w:p>
    <w:p>
      <w:pPr>
        <w:ind w:firstLine="0" w:firstLineChars="0"/>
        <w:rPr>
          <w:color w:val="000000"/>
          <w:sz w:val="32"/>
          <w:szCs w:val="32"/>
        </w:rPr>
      </w:pPr>
    </w:p>
    <w:p>
      <w:pPr>
        <w:ind w:firstLine="0" w:firstLineChars="0"/>
        <w:rPr>
          <w:color w:val="000000"/>
          <w:sz w:val="32"/>
          <w:szCs w:val="32"/>
        </w:rPr>
      </w:pPr>
    </w:p>
    <w:p>
      <w:pPr>
        <w:ind w:firstLine="0" w:firstLineChars="0"/>
        <w:rPr>
          <w:color w:val="000000"/>
          <w:sz w:val="32"/>
          <w:szCs w:val="32"/>
        </w:rPr>
      </w:pPr>
    </w:p>
    <w:p>
      <w:pPr>
        <w:ind w:firstLine="0" w:firstLineChars="0"/>
        <w:rPr>
          <w:color w:val="000000"/>
          <w:sz w:val="32"/>
          <w:szCs w:val="32"/>
        </w:rPr>
      </w:pPr>
    </w:p>
    <w:p>
      <w:pPr>
        <w:ind w:firstLine="0" w:firstLineChars="0"/>
        <w:rPr>
          <w:color w:val="000000"/>
          <w:sz w:val="32"/>
          <w:szCs w:val="32"/>
        </w:rPr>
      </w:pPr>
    </w:p>
    <w:p>
      <w:pPr>
        <w:ind w:firstLine="0" w:firstLineChars="0"/>
        <w:rPr>
          <w:color w:val="000000"/>
          <w:sz w:val="32"/>
          <w:szCs w:val="32"/>
        </w:rPr>
      </w:pPr>
    </w:p>
    <w:p>
      <w:pPr>
        <w:pStyle w:val="2"/>
      </w:pPr>
    </w:p>
    <w:p>
      <w:pPr>
        <w:ind w:firstLine="0" w:firstLineChars="0"/>
        <w:rPr>
          <w:rFonts w:ascii="黑体" w:hAnsi="黑体" w:eastAsia="黑体"/>
          <w:color w:val="000000"/>
          <w:sz w:val="32"/>
          <w:szCs w:val="32"/>
        </w:rPr>
      </w:pPr>
    </w:p>
    <w:p>
      <w:pPr>
        <w:spacing w:before="312" w:beforeLines="100" w:after="312" w:afterLines="100" w:line="400" w:lineRule="exact"/>
        <w:ind w:firstLine="0" w:firstLineChars="0"/>
        <w:jc w:val="center"/>
        <w:rPr>
          <w:rFonts w:ascii="黑体" w:hAnsi="黑体" w:eastAsia="黑体" w:cs="仿宋_GB2312"/>
          <w:b/>
          <w:color w:val="000000"/>
          <w:sz w:val="32"/>
          <w:szCs w:val="32"/>
        </w:rPr>
      </w:pPr>
    </w:p>
    <w:p>
      <w:pPr>
        <w:pStyle w:val="2"/>
      </w:pPr>
    </w:p>
    <w:p>
      <w:pPr>
        <w:pStyle w:val="2"/>
        <w:sectPr>
          <w:headerReference r:id="rId5" w:type="default"/>
          <w:footerReference r:id="rId6" w:type="default"/>
          <w:pgSz w:w="11906" w:h="16838"/>
          <w:pgMar w:top="1440" w:right="1800" w:bottom="1440" w:left="1800" w:header="851" w:footer="992" w:gutter="0"/>
          <w:pgNumType w:fmt="numberInDash"/>
          <w:cols w:space="425" w:num="1"/>
          <w:docGrid w:type="lines" w:linePitch="312" w:charSpace="0"/>
        </w:sectPr>
      </w:pPr>
    </w:p>
    <w:p>
      <w:pPr>
        <w:spacing w:before="156" w:beforeLines="50" w:after="156" w:afterLines="50" w:line="500" w:lineRule="exact"/>
        <w:ind w:firstLine="0" w:firstLineChars="0"/>
        <w:jc w:val="center"/>
        <w:rPr>
          <w:rFonts w:ascii="黑体" w:hAnsi="黑体" w:eastAsia="黑体"/>
          <w:b/>
          <w:color w:val="000000"/>
          <w:sz w:val="32"/>
          <w:szCs w:val="32"/>
        </w:rPr>
      </w:pPr>
      <w:r>
        <w:rPr>
          <w:rFonts w:hint="eastAsia" w:ascii="黑体" w:hAnsi="黑体" w:eastAsia="黑体"/>
          <w:b w:val="0"/>
          <w:bCs/>
          <w:color w:val="000000"/>
          <w:sz w:val="36"/>
          <w:szCs w:val="36"/>
        </w:rPr>
        <w:t>目</w:t>
      </w:r>
      <w:r>
        <w:rPr>
          <w:rFonts w:hint="eastAsia" w:ascii="黑体" w:hAnsi="黑体" w:eastAsia="黑体"/>
          <w:b w:val="0"/>
          <w:bCs/>
          <w:color w:val="000000"/>
          <w:sz w:val="36"/>
          <w:szCs w:val="36"/>
          <w:lang w:val="en-US" w:eastAsia="zh-CN"/>
        </w:rPr>
        <w:t xml:space="preserve">  </w:t>
      </w:r>
      <w:r>
        <w:rPr>
          <w:rFonts w:hint="eastAsia" w:ascii="黑体" w:hAnsi="黑体" w:eastAsia="黑体"/>
          <w:b w:val="0"/>
          <w:bCs/>
          <w:color w:val="000000"/>
          <w:sz w:val="36"/>
          <w:szCs w:val="36"/>
        </w:rPr>
        <w:t>录</w:t>
      </w:r>
    </w:p>
    <w:p>
      <w:pPr>
        <w:pStyle w:val="16"/>
        <w:tabs>
          <w:tab w:val="right" w:leader="dot" w:pos="8296"/>
        </w:tabs>
        <w:spacing w:before="78" w:after="78"/>
        <w:ind w:firstLine="300"/>
        <w:rPr>
          <w:rFonts w:asciiTheme="minorHAnsi" w:hAnsiTheme="minorHAnsi" w:eastAsiaTheme="minorEastAsia" w:cstheme="minorBidi"/>
          <w:b w:val="0"/>
          <w:bCs w:val="0"/>
          <w:sz w:val="21"/>
          <w:szCs w:val="22"/>
        </w:rPr>
      </w:pPr>
      <w:r>
        <w:rPr>
          <w:rFonts w:ascii="仿宋_GB2312" w:hAnsi="黑体"/>
          <w:b w:val="0"/>
          <w:bCs w:val="0"/>
          <w:color w:val="000000"/>
          <w:szCs w:val="30"/>
        </w:rPr>
        <w:fldChar w:fldCharType="begin"/>
      </w:r>
      <w:r>
        <w:rPr>
          <w:rFonts w:ascii="仿宋_GB2312" w:hAnsi="黑体"/>
          <w:b w:val="0"/>
          <w:bCs w:val="0"/>
          <w:color w:val="000000"/>
          <w:szCs w:val="30"/>
        </w:rPr>
        <w:instrText xml:space="preserve"> TOC \o "1-2" \h \z \u </w:instrText>
      </w:r>
      <w:r>
        <w:rPr>
          <w:rFonts w:ascii="仿宋_GB2312" w:hAnsi="黑体"/>
          <w:b w:val="0"/>
          <w:bCs w:val="0"/>
          <w:color w:val="000000"/>
          <w:szCs w:val="30"/>
        </w:rPr>
        <w:fldChar w:fldCharType="separate"/>
      </w:r>
      <w:r>
        <w:rPr>
          <w:b w:val="0"/>
          <w:bCs w:val="0"/>
        </w:rPr>
        <w:fldChar w:fldCharType="begin"/>
      </w:r>
      <w:r>
        <w:rPr>
          <w:b w:val="0"/>
          <w:bCs w:val="0"/>
        </w:rPr>
        <w:instrText xml:space="preserve"> HYPERLINK \l "_Toc61117334" </w:instrText>
      </w:r>
      <w:r>
        <w:rPr>
          <w:b w:val="0"/>
          <w:bCs w:val="0"/>
        </w:rPr>
        <w:fldChar w:fldCharType="separate"/>
      </w:r>
      <w:r>
        <w:rPr>
          <w:rStyle w:val="28"/>
          <w:rFonts w:ascii="黑体" w:hAnsi="黑体"/>
          <w:b w:val="0"/>
          <w:bCs w:val="0"/>
        </w:rPr>
        <w:t>序</w:t>
      </w:r>
      <w:r>
        <w:rPr>
          <w:rStyle w:val="28"/>
          <w:rFonts w:hint="eastAsia" w:ascii="黑体" w:hAnsi="黑体"/>
          <w:b w:val="0"/>
          <w:bCs w:val="0"/>
          <w:lang w:val="en-US" w:eastAsia="zh-CN"/>
        </w:rPr>
        <w:t xml:space="preserve">  </w:t>
      </w:r>
      <w:r>
        <w:rPr>
          <w:rStyle w:val="28"/>
          <w:rFonts w:ascii="黑体" w:hAnsi="黑体"/>
          <w:b w:val="0"/>
          <w:bCs w:val="0"/>
        </w:rPr>
        <w:t>言</w:t>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"_Toc61117335" </w:instrText>
      </w:r>
      <w:r>
        <w:rPr>
          <w:b w:val="0"/>
          <w:bCs w:val="0"/>
        </w:rPr>
        <w:fldChar w:fldCharType="separate"/>
      </w:r>
      <w:r>
        <w:rPr>
          <w:rStyle w:val="28"/>
          <w:rFonts w:ascii="黑体" w:hAnsi="黑体"/>
          <w:b w:val="0"/>
          <w:bCs w:val="0"/>
        </w:rPr>
        <w:t>第一章 开启</w:t>
      </w:r>
      <w:r>
        <w:rPr>
          <w:rStyle w:val="28"/>
          <w:rFonts w:hint="eastAsia" w:ascii="黑体" w:hAnsi="黑体"/>
          <w:b w:val="0"/>
          <w:bCs w:val="0"/>
          <w:lang w:eastAsia="zh-CN"/>
        </w:rPr>
        <w:t>全面建设社会主义现代化国家新征程</w:t>
      </w:r>
      <w:r>
        <w:rPr>
          <w:b w:val="0"/>
          <w:bCs w:val="0"/>
        </w:rPr>
        <w:tab/>
      </w:r>
      <w:r>
        <w:rPr>
          <w:b w:val="0"/>
          <w:bCs w:val="0"/>
        </w:rPr>
        <w:fldChar w:fldCharType="begin"/>
      </w:r>
      <w:r>
        <w:rPr>
          <w:b w:val="0"/>
          <w:bCs w:val="0"/>
        </w:rPr>
        <w:instrText xml:space="preserve"> PAGEREF _Toc61117335 \h </w:instrText>
      </w:r>
      <w:r>
        <w:rPr>
          <w:b w:val="0"/>
          <w:bCs w:val="0"/>
        </w:rPr>
        <w:fldChar w:fldCharType="separate"/>
      </w:r>
      <w:r>
        <w:rPr>
          <w:b w:val="0"/>
          <w:bCs w:val="0"/>
        </w:rPr>
        <w:t>1</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"_Toc61117336" </w:instrText>
      </w:r>
      <w:r>
        <w:rPr>
          <w:b w:val="0"/>
          <w:bCs w:val="0"/>
        </w:rPr>
        <w:fldChar w:fldCharType="separate"/>
      </w:r>
      <w:r>
        <w:rPr>
          <w:rStyle w:val="28"/>
          <w:rFonts w:ascii="楷体" w:hAnsi="楷体"/>
          <w:b w:val="0"/>
          <w:bCs w:val="0"/>
        </w:rPr>
        <w:t>第一节 决胜全面建成小康社会取得决定性成就</w:t>
      </w:r>
      <w:r>
        <w:rPr>
          <w:b w:val="0"/>
          <w:bCs w:val="0"/>
        </w:rPr>
        <w:tab/>
      </w:r>
      <w:r>
        <w:rPr>
          <w:b w:val="0"/>
          <w:bCs w:val="0"/>
        </w:rPr>
        <w:fldChar w:fldCharType="begin"/>
      </w:r>
      <w:r>
        <w:rPr>
          <w:b w:val="0"/>
          <w:bCs w:val="0"/>
        </w:rPr>
        <w:instrText xml:space="preserve"> PAGEREF _Toc61117336 \h </w:instrText>
      </w:r>
      <w:r>
        <w:rPr>
          <w:b w:val="0"/>
          <w:bCs w:val="0"/>
        </w:rPr>
        <w:fldChar w:fldCharType="separate"/>
      </w:r>
      <w:r>
        <w:rPr>
          <w:b w:val="0"/>
          <w:bCs w:val="0"/>
        </w:rPr>
        <w:t>1</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"_Toc61117337" </w:instrText>
      </w:r>
      <w:r>
        <w:rPr>
          <w:b w:val="0"/>
          <w:bCs w:val="0"/>
        </w:rPr>
        <w:fldChar w:fldCharType="separate"/>
      </w:r>
      <w:r>
        <w:rPr>
          <w:rStyle w:val="28"/>
          <w:rFonts w:ascii="楷体" w:hAnsi="楷体"/>
          <w:b w:val="0"/>
          <w:bCs w:val="0"/>
        </w:rPr>
        <w:t>第二节 新发展阶段面临的新机遇新挑战</w:t>
      </w:r>
      <w:r>
        <w:rPr>
          <w:b w:val="0"/>
          <w:bCs w:val="0"/>
        </w:rPr>
        <w:tab/>
      </w:r>
      <w:r>
        <w:rPr>
          <w:b w:val="0"/>
          <w:bCs w:val="0"/>
        </w:rPr>
        <w:fldChar w:fldCharType="begin"/>
      </w:r>
      <w:r>
        <w:rPr>
          <w:b w:val="0"/>
          <w:bCs w:val="0"/>
        </w:rPr>
        <w:instrText xml:space="preserve"> PAGEREF _Toc61117337 \h </w:instrText>
      </w:r>
      <w:r>
        <w:rPr>
          <w:b w:val="0"/>
          <w:bCs w:val="0"/>
        </w:rPr>
        <w:fldChar w:fldCharType="separate"/>
      </w:r>
      <w:r>
        <w:rPr>
          <w:b w:val="0"/>
          <w:bCs w:val="0"/>
        </w:rPr>
        <w:t>6</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"_Toc61117338" </w:instrText>
      </w:r>
      <w:r>
        <w:rPr>
          <w:b w:val="0"/>
          <w:bCs w:val="0"/>
        </w:rPr>
        <w:fldChar w:fldCharType="separate"/>
      </w:r>
      <w:r>
        <w:rPr>
          <w:rStyle w:val="28"/>
          <w:rFonts w:ascii="楷体" w:hAnsi="楷体"/>
          <w:b w:val="0"/>
          <w:bCs w:val="0"/>
        </w:rPr>
        <w:t>第三节 指导思想</w:t>
      </w:r>
      <w:r>
        <w:rPr>
          <w:b w:val="0"/>
          <w:bCs w:val="0"/>
        </w:rPr>
        <w:tab/>
      </w:r>
      <w:r>
        <w:rPr>
          <w:b w:val="0"/>
          <w:bCs w:val="0"/>
        </w:rPr>
        <w:fldChar w:fldCharType="begin"/>
      </w:r>
      <w:r>
        <w:rPr>
          <w:b w:val="0"/>
          <w:bCs w:val="0"/>
        </w:rPr>
        <w:instrText xml:space="preserve"> PAGEREF _Toc61117338 \h </w:instrText>
      </w:r>
      <w:r>
        <w:rPr>
          <w:b w:val="0"/>
          <w:bCs w:val="0"/>
        </w:rPr>
        <w:fldChar w:fldCharType="separate"/>
      </w:r>
      <w:r>
        <w:rPr>
          <w:b w:val="0"/>
          <w:bCs w:val="0"/>
        </w:rPr>
        <w:t>8</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"_Toc61117339" </w:instrText>
      </w:r>
      <w:r>
        <w:rPr>
          <w:b w:val="0"/>
          <w:bCs w:val="0"/>
        </w:rPr>
        <w:fldChar w:fldCharType="separate"/>
      </w:r>
      <w:r>
        <w:rPr>
          <w:rStyle w:val="28"/>
          <w:rFonts w:ascii="楷体" w:hAnsi="楷体"/>
          <w:b w:val="0"/>
          <w:bCs w:val="0"/>
        </w:rPr>
        <w:t>第四节 基本原则</w:t>
      </w:r>
      <w:r>
        <w:rPr>
          <w:b w:val="0"/>
          <w:bCs w:val="0"/>
        </w:rPr>
        <w:tab/>
      </w:r>
      <w:r>
        <w:rPr>
          <w:b w:val="0"/>
          <w:bCs w:val="0"/>
        </w:rPr>
        <w:fldChar w:fldCharType="begin"/>
      </w:r>
      <w:r>
        <w:rPr>
          <w:b w:val="0"/>
          <w:bCs w:val="0"/>
        </w:rPr>
        <w:instrText xml:space="preserve"> PAGEREF _Toc61117339 \h </w:instrText>
      </w:r>
      <w:r>
        <w:rPr>
          <w:b w:val="0"/>
          <w:bCs w:val="0"/>
        </w:rPr>
        <w:fldChar w:fldCharType="separate"/>
      </w:r>
      <w:r>
        <w:rPr>
          <w:b w:val="0"/>
          <w:bCs w:val="0"/>
        </w:rPr>
        <w:t>9</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"_Toc61117340" </w:instrText>
      </w:r>
      <w:r>
        <w:rPr>
          <w:b w:val="0"/>
          <w:bCs w:val="0"/>
        </w:rPr>
        <w:fldChar w:fldCharType="separate"/>
      </w:r>
      <w:r>
        <w:rPr>
          <w:rStyle w:val="28"/>
          <w:rFonts w:ascii="楷体" w:hAnsi="楷体"/>
          <w:b w:val="0"/>
          <w:bCs w:val="0"/>
        </w:rPr>
        <w:t>第五节 战略定位</w:t>
      </w:r>
      <w:r>
        <w:rPr>
          <w:b w:val="0"/>
          <w:bCs w:val="0"/>
        </w:rPr>
        <w:tab/>
      </w:r>
      <w:r>
        <w:rPr>
          <w:b w:val="0"/>
          <w:bCs w:val="0"/>
        </w:rPr>
        <w:fldChar w:fldCharType="begin"/>
      </w:r>
      <w:r>
        <w:rPr>
          <w:b w:val="0"/>
          <w:bCs w:val="0"/>
        </w:rPr>
        <w:instrText xml:space="preserve"> PAGEREF _Toc61117340 \h </w:instrText>
      </w:r>
      <w:r>
        <w:rPr>
          <w:b w:val="0"/>
          <w:bCs w:val="0"/>
        </w:rPr>
        <w:fldChar w:fldCharType="separate"/>
      </w:r>
      <w:r>
        <w:rPr>
          <w:b w:val="0"/>
          <w:bCs w:val="0"/>
        </w:rPr>
        <w:t>10</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"_Toc61117341" </w:instrText>
      </w:r>
      <w:r>
        <w:rPr>
          <w:b w:val="0"/>
          <w:bCs w:val="0"/>
        </w:rPr>
        <w:fldChar w:fldCharType="separate"/>
      </w:r>
      <w:r>
        <w:rPr>
          <w:rStyle w:val="28"/>
          <w:rFonts w:ascii="楷体" w:hAnsi="楷体"/>
          <w:b w:val="0"/>
          <w:bCs w:val="0"/>
        </w:rPr>
        <w:t>第六节 发展目标</w:t>
      </w:r>
      <w:r>
        <w:rPr>
          <w:b w:val="0"/>
          <w:bCs w:val="0"/>
        </w:rPr>
        <w:tab/>
      </w:r>
      <w:r>
        <w:rPr>
          <w:b w:val="0"/>
          <w:bCs w:val="0"/>
        </w:rPr>
        <w:fldChar w:fldCharType="begin"/>
      </w:r>
      <w:r>
        <w:rPr>
          <w:b w:val="0"/>
          <w:bCs w:val="0"/>
        </w:rPr>
        <w:instrText xml:space="preserve"> PAGEREF _Toc61117341 \h </w:instrText>
      </w:r>
      <w:r>
        <w:rPr>
          <w:b w:val="0"/>
          <w:bCs w:val="0"/>
        </w:rPr>
        <w:fldChar w:fldCharType="separate"/>
      </w:r>
      <w:r>
        <w:rPr>
          <w:b w:val="0"/>
          <w:bCs w:val="0"/>
        </w:rPr>
        <w:t>11</w:t>
      </w:r>
      <w:r>
        <w:rPr>
          <w:b w:val="0"/>
          <w:bCs w:val="0"/>
        </w:rPr>
        <w:fldChar w:fldCharType="end"/>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"_Toc61117342" </w:instrText>
      </w:r>
      <w:r>
        <w:rPr>
          <w:b w:val="0"/>
          <w:bCs w:val="0"/>
        </w:rPr>
        <w:fldChar w:fldCharType="separate"/>
      </w:r>
      <w:r>
        <w:rPr>
          <w:rStyle w:val="28"/>
          <w:rFonts w:ascii="黑体" w:hAnsi="黑体"/>
          <w:b w:val="0"/>
          <w:bCs w:val="0"/>
        </w:rPr>
        <w:t>第二章 全面建设创新型宁德</w:t>
      </w:r>
      <w:r>
        <w:rPr>
          <w:b w:val="0"/>
          <w:bCs w:val="0"/>
        </w:rPr>
        <w:tab/>
      </w:r>
      <w:r>
        <w:rPr>
          <w:b w:val="0"/>
          <w:bCs w:val="0"/>
        </w:rPr>
        <w:fldChar w:fldCharType="begin"/>
      </w:r>
      <w:r>
        <w:rPr>
          <w:b w:val="0"/>
          <w:bCs w:val="0"/>
        </w:rPr>
        <w:instrText xml:space="preserve"> PAGEREF _Toc61117342 \h </w:instrText>
      </w:r>
      <w:r>
        <w:rPr>
          <w:b w:val="0"/>
          <w:bCs w:val="0"/>
        </w:rPr>
        <w:fldChar w:fldCharType="separate"/>
      </w:r>
      <w:r>
        <w:rPr>
          <w:b w:val="0"/>
          <w:bCs w:val="0"/>
        </w:rPr>
        <w:t>16</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"_Toc61117343" </w:instrText>
      </w:r>
      <w:r>
        <w:rPr>
          <w:b w:val="0"/>
          <w:bCs w:val="0"/>
        </w:rPr>
        <w:fldChar w:fldCharType="separate"/>
      </w:r>
      <w:r>
        <w:rPr>
          <w:rStyle w:val="28"/>
          <w:rFonts w:ascii="楷体" w:hAnsi="楷体"/>
          <w:b w:val="0"/>
          <w:bCs w:val="0"/>
        </w:rPr>
        <w:t>第一节 全力打造产业创新高地</w:t>
      </w:r>
      <w:r>
        <w:rPr>
          <w:b w:val="0"/>
          <w:bCs w:val="0"/>
        </w:rPr>
        <w:tab/>
      </w:r>
      <w:r>
        <w:rPr>
          <w:b w:val="0"/>
          <w:bCs w:val="0"/>
        </w:rPr>
        <w:fldChar w:fldCharType="begin"/>
      </w:r>
      <w:r>
        <w:rPr>
          <w:b w:val="0"/>
          <w:bCs w:val="0"/>
        </w:rPr>
        <w:instrText xml:space="preserve"> PAGEREF _Toc61117343 \h </w:instrText>
      </w:r>
      <w:r>
        <w:rPr>
          <w:b w:val="0"/>
          <w:bCs w:val="0"/>
        </w:rPr>
        <w:fldChar w:fldCharType="separate"/>
      </w:r>
      <w:r>
        <w:rPr>
          <w:b w:val="0"/>
          <w:bCs w:val="0"/>
        </w:rPr>
        <w:t>16</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"_Toc61117344" </w:instrText>
      </w:r>
      <w:r>
        <w:rPr>
          <w:b w:val="0"/>
          <w:bCs w:val="0"/>
        </w:rPr>
        <w:fldChar w:fldCharType="separate"/>
      </w:r>
      <w:r>
        <w:rPr>
          <w:rStyle w:val="28"/>
          <w:rFonts w:ascii="楷体" w:hAnsi="楷体"/>
          <w:b w:val="0"/>
          <w:bCs w:val="0"/>
        </w:rPr>
        <w:t>第二节 加快构筑多元创业平台</w:t>
      </w:r>
      <w:r>
        <w:rPr>
          <w:b w:val="0"/>
          <w:bCs w:val="0"/>
        </w:rPr>
        <w:tab/>
      </w:r>
      <w:r>
        <w:rPr>
          <w:b w:val="0"/>
          <w:bCs w:val="0"/>
        </w:rPr>
        <w:fldChar w:fldCharType="begin"/>
      </w:r>
      <w:r>
        <w:rPr>
          <w:b w:val="0"/>
          <w:bCs w:val="0"/>
        </w:rPr>
        <w:instrText xml:space="preserve"> PAGEREF _Toc61117344 \h </w:instrText>
      </w:r>
      <w:r>
        <w:rPr>
          <w:b w:val="0"/>
          <w:bCs w:val="0"/>
        </w:rPr>
        <w:fldChar w:fldCharType="separate"/>
      </w:r>
      <w:r>
        <w:rPr>
          <w:b w:val="0"/>
          <w:bCs w:val="0"/>
        </w:rPr>
        <w:t>17</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"_Toc61117345" </w:instrText>
      </w:r>
      <w:r>
        <w:rPr>
          <w:b w:val="0"/>
          <w:bCs w:val="0"/>
        </w:rPr>
        <w:fldChar w:fldCharType="separate"/>
      </w:r>
      <w:r>
        <w:rPr>
          <w:rStyle w:val="28"/>
          <w:rFonts w:ascii="楷体" w:hAnsi="楷体"/>
          <w:b w:val="0"/>
          <w:bCs w:val="0"/>
        </w:rPr>
        <w:t>第三节 激发人才创造活力</w:t>
      </w:r>
      <w:r>
        <w:rPr>
          <w:b w:val="0"/>
          <w:bCs w:val="0"/>
        </w:rPr>
        <w:tab/>
      </w:r>
      <w:r>
        <w:rPr>
          <w:b w:val="0"/>
          <w:bCs w:val="0"/>
        </w:rPr>
        <w:fldChar w:fldCharType="begin"/>
      </w:r>
      <w:r>
        <w:rPr>
          <w:b w:val="0"/>
          <w:bCs w:val="0"/>
        </w:rPr>
        <w:instrText xml:space="preserve"> PAGEREF _Toc61117345 \h </w:instrText>
      </w:r>
      <w:r>
        <w:rPr>
          <w:b w:val="0"/>
          <w:bCs w:val="0"/>
        </w:rPr>
        <w:fldChar w:fldCharType="separate"/>
      </w:r>
      <w:r>
        <w:rPr>
          <w:b w:val="0"/>
          <w:bCs w:val="0"/>
        </w:rPr>
        <w:t>18</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"_Toc61117346" </w:instrText>
      </w:r>
      <w:r>
        <w:rPr>
          <w:b w:val="0"/>
          <w:bCs w:val="0"/>
        </w:rPr>
        <w:fldChar w:fldCharType="separate"/>
      </w:r>
      <w:r>
        <w:rPr>
          <w:rStyle w:val="28"/>
          <w:rFonts w:ascii="楷体" w:hAnsi="楷体"/>
          <w:b w:val="0"/>
          <w:bCs w:val="0"/>
        </w:rPr>
        <w:t>第四节 优化区域创新环境</w:t>
      </w:r>
      <w:r>
        <w:rPr>
          <w:b w:val="0"/>
          <w:bCs w:val="0"/>
        </w:rPr>
        <w:tab/>
      </w:r>
      <w:r>
        <w:rPr>
          <w:b w:val="0"/>
          <w:bCs w:val="0"/>
        </w:rPr>
        <w:fldChar w:fldCharType="begin"/>
      </w:r>
      <w:r>
        <w:rPr>
          <w:b w:val="0"/>
          <w:bCs w:val="0"/>
        </w:rPr>
        <w:instrText xml:space="preserve"> PAGEREF _Toc61117346 \h </w:instrText>
      </w:r>
      <w:r>
        <w:rPr>
          <w:b w:val="0"/>
          <w:bCs w:val="0"/>
        </w:rPr>
        <w:fldChar w:fldCharType="separate"/>
      </w:r>
      <w:r>
        <w:rPr>
          <w:b w:val="0"/>
          <w:bCs w:val="0"/>
        </w:rPr>
        <w:t>20</w:t>
      </w:r>
      <w:r>
        <w:rPr>
          <w:b w:val="0"/>
          <w:bCs w:val="0"/>
        </w:rPr>
        <w:fldChar w:fldCharType="end"/>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"_Toc61117347" </w:instrText>
      </w:r>
      <w:r>
        <w:rPr>
          <w:b w:val="0"/>
          <w:bCs w:val="0"/>
        </w:rPr>
        <w:fldChar w:fldCharType="separate"/>
      </w:r>
      <w:r>
        <w:rPr>
          <w:rStyle w:val="28"/>
          <w:rFonts w:ascii="黑体" w:hAnsi="黑体"/>
          <w:b w:val="0"/>
          <w:bCs w:val="0"/>
        </w:rPr>
        <w:t>第三章 加快构建现代产业体系</w:t>
      </w:r>
      <w:r>
        <w:rPr>
          <w:b w:val="0"/>
          <w:bCs w:val="0"/>
        </w:rPr>
        <w:tab/>
      </w:r>
      <w:r>
        <w:rPr>
          <w:b w:val="0"/>
          <w:bCs w:val="0"/>
        </w:rPr>
        <w:fldChar w:fldCharType="begin"/>
      </w:r>
      <w:r>
        <w:rPr>
          <w:b w:val="0"/>
          <w:bCs w:val="0"/>
        </w:rPr>
        <w:instrText xml:space="preserve"> PAGEREF _Toc61117347 \h </w:instrText>
      </w:r>
      <w:r>
        <w:rPr>
          <w:b w:val="0"/>
          <w:bCs w:val="0"/>
        </w:rPr>
        <w:fldChar w:fldCharType="separate"/>
      </w:r>
      <w:r>
        <w:rPr>
          <w:b w:val="0"/>
          <w:bCs w:val="0"/>
        </w:rPr>
        <w:t>22</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"_Toc61117348" </w:instrText>
      </w:r>
      <w:r>
        <w:rPr>
          <w:b w:val="0"/>
          <w:bCs w:val="0"/>
        </w:rPr>
        <w:fldChar w:fldCharType="separate"/>
      </w:r>
      <w:r>
        <w:rPr>
          <w:rStyle w:val="28"/>
          <w:rFonts w:ascii="楷体" w:hAnsi="楷体"/>
          <w:b w:val="0"/>
          <w:bCs w:val="0"/>
        </w:rPr>
        <w:t>第一节 打造四大主导产业地标</w:t>
      </w:r>
      <w:r>
        <w:rPr>
          <w:b w:val="0"/>
          <w:bCs w:val="0"/>
        </w:rPr>
        <w:tab/>
      </w:r>
      <w:r>
        <w:rPr>
          <w:b w:val="0"/>
          <w:bCs w:val="0"/>
        </w:rPr>
        <w:fldChar w:fldCharType="begin"/>
      </w:r>
      <w:r>
        <w:rPr>
          <w:b w:val="0"/>
          <w:bCs w:val="0"/>
        </w:rPr>
        <w:instrText xml:space="preserve"> PAGEREF _Toc61117348 \h </w:instrText>
      </w:r>
      <w:r>
        <w:rPr>
          <w:b w:val="0"/>
          <w:bCs w:val="0"/>
        </w:rPr>
        <w:fldChar w:fldCharType="separate"/>
      </w:r>
      <w:r>
        <w:rPr>
          <w:b w:val="0"/>
          <w:bCs w:val="0"/>
        </w:rPr>
        <w:t>22</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"_Toc61117349" </w:instrText>
      </w:r>
      <w:r>
        <w:rPr>
          <w:b w:val="0"/>
          <w:bCs w:val="0"/>
        </w:rPr>
        <w:fldChar w:fldCharType="separate"/>
      </w:r>
      <w:r>
        <w:rPr>
          <w:rStyle w:val="28"/>
          <w:rFonts w:ascii="楷体" w:hAnsi="楷体"/>
          <w:b w:val="0"/>
          <w:bCs w:val="0"/>
        </w:rPr>
        <w:t>第二节 加快发展三大优势产业</w:t>
      </w:r>
      <w:r>
        <w:rPr>
          <w:b w:val="0"/>
          <w:bCs w:val="0"/>
        </w:rPr>
        <w:tab/>
      </w:r>
      <w:r>
        <w:rPr>
          <w:b w:val="0"/>
          <w:bCs w:val="0"/>
        </w:rPr>
        <w:fldChar w:fldCharType="begin"/>
      </w:r>
      <w:r>
        <w:rPr>
          <w:b w:val="0"/>
          <w:bCs w:val="0"/>
        </w:rPr>
        <w:instrText xml:space="preserve"> PAGEREF _Toc61117349 \h </w:instrText>
      </w:r>
      <w:r>
        <w:rPr>
          <w:b w:val="0"/>
          <w:bCs w:val="0"/>
        </w:rPr>
        <w:fldChar w:fldCharType="separate"/>
      </w:r>
      <w:r>
        <w:rPr>
          <w:b w:val="0"/>
          <w:bCs w:val="0"/>
        </w:rPr>
        <w:t>27</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"_Toc61117350" </w:instrText>
      </w:r>
      <w:r>
        <w:rPr>
          <w:b w:val="0"/>
          <w:bCs w:val="0"/>
        </w:rPr>
        <w:fldChar w:fldCharType="separate"/>
      </w:r>
      <w:r>
        <w:rPr>
          <w:rStyle w:val="28"/>
          <w:rFonts w:ascii="楷体" w:hAnsi="楷体"/>
          <w:b w:val="0"/>
          <w:bCs w:val="0"/>
        </w:rPr>
        <w:t>第三节 大力培育数字经济</w:t>
      </w:r>
      <w:r>
        <w:rPr>
          <w:b w:val="0"/>
          <w:bCs w:val="0"/>
        </w:rPr>
        <w:tab/>
      </w:r>
      <w:r>
        <w:rPr>
          <w:b w:val="0"/>
          <w:bCs w:val="0"/>
        </w:rPr>
        <w:fldChar w:fldCharType="begin"/>
      </w:r>
      <w:r>
        <w:rPr>
          <w:b w:val="0"/>
          <w:bCs w:val="0"/>
        </w:rPr>
        <w:instrText xml:space="preserve"> PAGEREF _Toc61117350 \h </w:instrText>
      </w:r>
      <w:r>
        <w:rPr>
          <w:b w:val="0"/>
          <w:bCs w:val="0"/>
        </w:rPr>
        <w:fldChar w:fldCharType="separate"/>
      </w:r>
      <w:r>
        <w:rPr>
          <w:b w:val="0"/>
          <w:bCs w:val="0"/>
        </w:rPr>
        <w:t>34</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"_Toc61117351" </w:instrText>
      </w:r>
      <w:r>
        <w:rPr>
          <w:b w:val="0"/>
          <w:bCs w:val="0"/>
        </w:rPr>
        <w:fldChar w:fldCharType="separate"/>
      </w:r>
      <w:r>
        <w:rPr>
          <w:rStyle w:val="28"/>
          <w:rFonts w:ascii="楷体" w:hAnsi="楷体"/>
          <w:b w:val="0"/>
          <w:bCs w:val="0"/>
        </w:rPr>
        <w:t>第四节 发展壮大现代服务业</w:t>
      </w:r>
      <w:r>
        <w:rPr>
          <w:b w:val="0"/>
          <w:bCs w:val="0"/>
        </w:rPr>
        <w:tab/>
      </w:r>
      <w:r>
        <w:rPr>
          <w:b w:val="0"/>
          <w:bCs w:val="0"/>
        </w:rPr>
        <w:fldChar w:fldCharType="begin"/>
      </w:r>
      <w:r>
        <w:rPr>
          <w:b w:val="0"/>
          <w:bCs w:val="0"/>
        </w:rPr>
        <w:instrText xml:space="preserve"> PAGEREF _Toc61117351 \h </w:instrText>
      </w:r>
      <w:r>
        <w:rPr>
          <w:b w:val="0"/>
          <w:bCs w:val="0"/>
        </w:rPr>
        <w:fldChar w:fldCharType="separate"/>
      </w:r>
      <w:r>
        <w:rPr>
          <w:b w:val="0"/>
          <w:bCs w:val="0"/>
        </w:rPr>
        <w:t>36</w:t>
      </w:r>
      <w:r>
        <w:rPr>
          <w:b w:val="0"/>
          <w:bCs w:val="0"/>
        </w:rPr>
        <w:fldChar w:fldCharType="end"/>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"_Toc61117352" </w:instrText>
      </w:r>
      <w:r>
        <w:rPr>
          <w:b w:val="0"/>
          <w:bCs w:val="0"/>
        </w:rPr>
        <w:fldChar w:fldCharType="separate"/>
      </w:r>
      <w:r>
        <w:rPr>
          <w:rStyle w:val="28"/>
          <w:rFonts w:ascii="黑体" w:hAnsi="黑体"/>
          <w:b w:val="0"/>
          <w:bCs w:val="0"/>
        </w:rPr>
        <w:t>第四章 服务并深度融入新发展格局</w:t>
      </w:r>
      <w:r>
        <w:rPr>
          <w:b w:val="0"/>
          <w:bCs w:val="0"/>
        </w:rPr>
        <w:tab/>
      </w:r>
      <w:r>
        <w:rPr>
          <w:b w:val="0"/>
          <w:bCs w:val="0"/>
        </w:rPr>
        <w:fldChar w:fldCharType="begin"/>
      </w:r>
      <w:r>
        <w:rPr>
          <w:b w:val="0"/>
          <w:bCs w:val="0"/>
        </w:rPr>
        <w:instrText xml:space="preserve"> PAGEREF _Toc61117352 \h </w:instrText>
      </w:r>
      <w:r>
        <w:rPr>
          <w:b w:val="0"/>
          <w:bCs w:val="0"/>
        </w:rPr>
        <w:fldChar w:fldCharType="separate"/>
      </w:r>
      <w:r>
        <w:rPr>
          <w:b w:val="0"/>
          <w:bCs w:val="0"/>
        </w:rPr>
        <w:t>40</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"_Toc61117353" </w:instrText>
      </w:r>
      <w:r>
        <w:rPr>
          <w:b w:val="0"/>
          <w:bCs w:val="0"/>
        </w:rPr>
        <w:fldChar w:fldCharType="separate"/>
      </w:r>
      <w:r>
        <w:rPr>
          <w:rStyle w:val="28"/>
          <w:rFonts w:ascii="楷体" w:hAnsi="楷体"/>
          <w:b w:val="0"/>
          <w:bCs w:val="0"/>
        </w:rPr>
        <w:t>第一节 着力完善内需体系</w:t>
      </w:r>
      <w:r>
        <w:rPr>
          <w:b w:val="0"/>
          <w:bCs w:val="0"/>
        </w:rPr>
        <w:tab/>
      </w:r>
      <w:r>
        <w:rPr>
          <w:b w:val="0"/>
          <w:bCs w:val="0"/>
        </w:rPr>
        <w:fldChar w:fldCharType="begin"/>
      </w:r>
      <w:r>
        <w:rPr>
          <w:b w:val="0"/>
          <w:bCs w:val="0"/>
        </w:rPr>
        <w:instrText xml:space="preserve"> PAGEREF _Toc61117353 \h </w:instrText>
      </w:r>
      <w:r>
        <w:rPr>
          <w:b w:val="0"/>
          <w:bCs w:val="0"/>
        </w:rPr>
        <w:fldChar w:fldCharType="separate"/>
      </w:r>
      <w:r>
        <w:rPr>
          <w:b w:val="0"/>
          <w:bCs w:val="0"/>
        </w:rPr>
        <w:t>40</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"_Toc61117354" </w:instrText>
      </w:r>
      <w:r>
        <w:rPr>
          <w:b w:val="0"/>
          <w:bCs w:val="0"/>
        </w:rPr>
        <w:fldChar w:fldCharType="separate"/>
      </w:r>
      <w:r>
        <w:rPr>
          <w:rStyle w:val="28"/>
          <w:rFonts w:ascii="楷体" w:hAnsi="楷体"/>
          <w:b w:val="0"/>
          <w:bCs w:val="0"/>
        </w:rPr>
        <w:t>第二节 打造国内大循环的重要节点</w:t>
      </w:r>
      <w:r>
        <w:rPr>
          <w:b w:val="0"/>
          <w:bCs w:val="0"/>
        </w:rPr>
        <w:tab/>
      </w:r>
      <w:r>
        <w:rPr>
          <w:b w:val="0"/>
          <w:bCs w:val="0"/>
        </w:rPr>
        <w:fldChar w:fldCharType="begin"/>
      </w:r>
      <w:r>
        <w:rPr>
          <w:b w:val="0"/>
          <w:bCs w:val="0"/>
        </w:rPr>
        <w:instrText xml:space="preserve"> PAGEREF _Toc61117354 \h </w:instrText>
      </w:r>
      <w:r>
        <w:rPr>
          <w:b w:val="0"/>
          <w:bCs w:val="0"/>
        </w:rPr>
        <w:fldChar w:fldCharType="separate"/>
      </w:r>
      <w:r>
        <w:rPr>
          <w:b w:val="0"/>
          <w:bCs w:val="0"/>
        </w:rPr>
        <w:t>41</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"_Toc61117355" </w:instrText>
      </w:r>
      <w:r>
        <w:rPr>
          <w:b w:val="0"/>
          <w:bCs w:val="0"/>
        </w:rPr>
        <w:fldChar w:fldCharType="separate"/>
      </w:r>
      <w:r>
        <w:rPr>
          <w:rStyle w:val="28"/>
          <w:rFonts w:ascii="楷体" w:hAnsi="楷体"/>
          <w:b w:val="0"/>
          <w:bCs w:val="0"/>
        </w:rPr>
        <w:t>第三节 构建国内国际双循环的重要通道</w:t>
      </w:r>
      <w:r>
        <w:rPr>
          <w:b w:val="0"/>
          <w:bCs w:val="0"/>
        </w:rPr>
        <w:tab/>
      </w:r>
      <w:r>
        <w:rPr>
          <w:b w:val="0"/>
          <w:bCs w:val="0"/>
        </w:rPr>
        <w:fldChar w:fldCharType="begin"/>
      </w:r>
      <w:r>
        <w:rPr>
          <w:b w:val="0"/>
          <w:bCs w:val="0"/>
        </w:rPr>
        <w:instrText xml:space="preserve"> PAGEREF _Toc61117355 \h </w:instrText>
      </w:r>
      <w:r>
        <w:rPr>
          <w:b w:val="0"/>
          <w:bCs w:val="0"/>
        </w:rPr>
        <w:fldChar w:fldCharType="separate"/>
      </w:r>
      <w:r>
        <w:rPr>
          <w:b w:val="0"/>
          <w:bCs w:val="0"/>
        </w:rPr>
        <w:t>43</w:t>
      </w:r>
      <w:r>
        <w:rPr>
          <w:b w:val="0"/>
          <w:bCs w:val="0"/>
        </w:rPr>
        <w:fldChar w:fldCharType="end"/>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"_Toc61117356" </w:instrText>
      </w:r>
      <w:r>
        <w:rPr>
          <w:b w:val="0"/>
          <w:bCs w:val="0"/>
        </w:rPr>
        <w:fldChar w:fldCharType="separate"/>
      </w:r>
      <w:r>
        <w:rPr>
          <w:rStyle w:val="28"/>
          <w:rFonts w:ascii="黑体" w:hAnsi="黑体"/>
          <w:b w:val="0"/>
          <w:bCs w:val="0"/>
        </w:rPr>
        <w:t>第五章 完善市场经济体制机制</w:t>
      </w:r>
      <w:r>
        <w:rPr>
          <w:b w:val="0"/>
          <w:bCs w:val="0"/>
        </w:rPr>
        <w:tab/>
      </w:r>
      <w:r>
        <w:rPr>
          <w:b w:val="0"/>
          <w:bCs w:val="0"/>
        </w:rPr>
        <w:fldChar w:fldCharType="begin"/>
      </w:r>
      <w:r>
        <w:rPr>
          <w:b w:val="0"/>
          <w:bCs w:val="0"/>
        </w:rPr>
        <w:instrText xml:space="preserve"> PAGEREF _Toc61117356 \h </w:instrText>
      </w:r>
      <w:r>
        <w:rPr>
          <w:b w:val="0"/>
          <w:bCs w:val="0"/>
        </w:rPr>
        <w:fldChar w:fldCharType="separate"/>
      </w:r>
      <w:r>
        <w:rPr>
          <w:b w:val="0"/>
          <w:bCs w:val="0"/>
        </w:rPr>
        <w:t>45</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"_Toc61117357" </w:instrText>
      </w:r>
      <w:r>
        <w:rPr>
          <w:b w:val="0"/>
          <w:bCs w:val="0"/>
        </w:rPr>
        <w:fldChar w:fldCharType="separate"/>
      </w:r>
      <w:r>
        <w:rPr>
          <w:rStyle w:val="28"/>
          <w:rFonts w:ascii="楷体" w:hAnsi="楷体"/>
          <w:b w:val="0"/>
          <w:bCs w:val="0"/>
        </w:rPr>
        <w:t>第一节 打造国内一流营商环境</w:t>
      </w:r>
      <w:r>
        <w:rPr>
          <w:b w:val="0"/>
          <w:bCs w:val="0"/>
        </w:rPr>
        <w:tab/>
      </w:r>
      <w:r>
        <w:rPr>
          <w:b w:val="0"/>
          <w:bCs w:val="0"/>
        </w:rPr>
        <w:fldChar w:fldCharType="begin"/>
      </w:r>
      <w:r>
        <w:rPr>
          <w:b w:val="0"/>
          <w:bCs w:val="0"/>
        </w:rPr>
        <w:instrText xml:space="preserve"> PAGEREF _Toc61117357 \h </w:instrText>
      </w:r>
      <w:r>
        <w:rPr>
          <w:b w:val="0"/>
          <w:bCs w:val="0"/>
        </w:rPr>
        <w:fldChar w:fldCharType="separate"/>
      </w:r>
      <w:r>
        <w:rPr>
          <w:b w:val="0"/>
          <w:bCs w:val="0"/>
        </w:rPr>
        <w:t>45</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"_Toc61117358" </w:instrText>
      </w:r>
      <w:r>
        <w:rPr>
          <w:b w:val="0"/>
          <w:bCs w:val="0"/>
        </w:rPr>
        <w:fldChar w:fldCharType="separate"/>
      </w:r>
      <w:r>
        <w:rPr>
          <w:rStyle w:val="28"/>
          <w:rFonts w:ascii="楷体" w:hAnsi="楷体"/>
          <w:b w:val="0"/>
          <w:bCs w:val="0"/>
        </w:rPr>
        <w:t>第二节 激发市场主体活力</w:t>
      </w:r>
      <w:r>
        <w:rPr>
          <w:b w:val="0"/>
          <w:bCs w:val="0"/>
        </w:rPr>
        <w:tab/>
      </w:r>
      <w:r>
        <w:rPr>
          <w:b w:val="0"/>
          <w:bCs w:val="0"/>
        </w:rPr>
        <w:fldChar w:fldCharType="begin"/>
      </w:r>
      <w:r>
        <w:rPr>
          <w:b w:val="0"/>
          <w:bCs w:val="0"/>
        </w:rPr>
        <w:instrText xml:space="preserve"> PAGEREF _Toc61117358 \h </w:instrText>
      </w:r>
      <w:r>
        <w:rPr>
          <w:b w:val="0"/>
          <w:bCs w:val="0"/>
        </w:rPr>
        <w:fldChar w:fldCharType="separate"/>
      </w:r>
      <w:r>
        <w:rPr>
          <w:b w:val="0"/>
          <w:bCs w:val="0"/>
        </w:rPr>
        <w:t>47</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"_Toc61117359" </w:instrText>
      </w:r>
      <w:r>
        <w:rPr>
          <w:b w:val="0"/>
          <w:bCs w:val="0"/>
        </w:rPr>
        <w:fldChar w:fldCharType="separate"/>
      </w:r>
      <w:r>
        <w:rPr>
          <w:rStyle w:val="28"/>
          <w:rFonts w:ascii="楷体" w:hAnsi="楷体"/>
          <w:b w:val="0"/>
          <w:bCs w:val="0"/>
        </w:rPr>
        <w:t>第三节 增强经济发展动力</w:t>
      </w:r>
      <w:r>
        <w:rPr>
          <w:b w:val="0"/>
          <w:bCs w:val="0"/>
        </w:rPr>
        <w:tab/>
      </w:r>
      <w:r>
        <w:rPr>
          <w:b w:val="0"/>
          <w:bCs w:val="0"/>
        </w:rPr>
        <w:fldChar w:fldCharType="begin"/>
      </w:r>
      <w:r>
        <w:rPr>
          <w:b w:val="0"/>
          <w:bCs w:val="0"/>
        </w:rPr>
        <w:instrText xml:space="preserve"> PAGEREF _Toc61117359 \h </w:instrText>
      </w:r>
      <w:r>
        <w:rPr>
          <w:b w:val="0"/>
          <w:bCs w:val="0"/>
        </w:rPr>
        <w:fldChar w:fldCharType="separate"/>
      </w:r>
      <w:r>
        <w:rPr>
          <w:b w:val="0"/>
          <w:bCs w:val="0"/>
        </w:rPr>
        <w:t>48</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"_Toc61117360" </w:instrText>
      </w:r>
      <w:r>
        <w:rPr>
          <w:b w:val="0"/>
          <w:bCs w:val="0"/>
        </w:rPr>
        <w:fldChar w:fldCharType="separate"/>
      </w:r>
      <w:r>
        <w:rPr>
          <w:rStyle w:val="28"/>
          <w:rFonts w:ascii="楷体" w:hAnsi="楷体"/>
          <w:b w:val="0"/>
          <w:bCs w:val="0"/>
        </w:rPr>
        <w:t>第四节 完善现代市场体系</w:t>
      </w:r>
      <w:r>
        <w:rPr>
          <w:b w:val="0"/>
          <w:bCs w:val="0"/>
        </w:rPr>
        <w:tab/>
      </w:r>
      <w:r>
        <w:rPr>
          <w:b w:val="0"/>
          <w:bCs w:val="0"/>
        </w:rPr>
        <w:fldChar w:fldCharType="begin"/>
      </w:r>
      <w:r>
        <w:rPr>
          <w:b w:val="0"/>
          <w:bCs w:val="0"/>
        </w:rPr>
        <w:instrText xml:space="preserve"> PAGEREF _Toc61117360 \h </w:instrText>
      </w:r>
      <w:r>
        <w:rPr>
          <w:b w:val="0"/>
          <w:bCs w:val="0"/>
        </w:rPr>
        <w:fldChar w:fldCharType="separate"/>
      </w:r>
      <w:r>
        <w:rPr>
          <w:b w:val="0"/>
          <w:bCs w:val="0"/>
        </w:rPr>
        <w:t>50</w:t>
      </w:r>
      <w:r>
        <w:rPr>
          <w:b w:val="0"/>
          <w:bCs w:val="0"/>
        </w:rPr>
        <w:fldChar w:fldCharType="end"/>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"_Toc61117361" </w:instrText>
      </w:r>
      <w:r>
        <w:rPr>
          <w:b w:val="0"/>
          <w:bCs w:val="0"/>
        </w:rPr>
        <w:fldChar w:fldCharType="separate"/>
      </w:r>
      <w:r>
        <w:rPr>
          <w:rStyle w:val="28"/>
          <w:rFonts w:ascii="黑体" w:hAnsi="黑体"/>
          <w:b w:val="0"/>
          <w:bCs w:val="0"/>
        </w:rPr>
        <w:t>第六章 建设现代化基础设施体系</w:t>
      </w:r>
      <w:r>
        <w:rPr>
          <w:b w:val="0"/>
          <w:bCs w:val="0"/>
        </w:rPr>
        <w:tab/>
      </w:r>
      <w:r>
        <w:rPr>
          <w:b w:val="0"/>
          <w:bCs w:val="0"/>
        </w:rPr>
        <w:fldChar w:fldCharType="begin"/>
      </w:r>
      <w:r>
        <w:rPr>
          <w:b w:val="0"/>
          <w:bCs w:val="0"/>
        </w:rPr>
        <w:instrText xml:space="preserve"> PAGEREF _Toc61117361 \h </w:instrText>
      </w:r>
      <w:r>
        <w:rPr>
          <w:b w:val="0"/>
          <w:bCs w:val="0"/>
        </w:rPr>
        <w:fldChar w:fldCharType="separate"/>
      </w:r>
      <w:r>
        <w:rPr>
          <w:b w:val="0"/>
          <w:bCs w:val="0"/>
        </w:rPr>
        <w:t>52</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"_Toc61117362" </w:instrText>
      </w:r>
      <w:r>
        <w:rPr>
          <w:b w:val="0"/>
          <w:bCs w:val="0"/>
        </w:rPr>
        <w:fldChar w:fldCharType="separate"/>
      </w:r>
      <w:r>
        <w:rPr>
          <w:rStyle w:val="28"/>
          <w:rFonts w:ascii="楷体" w:hAnsi="楷体"/>
          <w:b w:val="0"/>
          <w:bCs w:val="0"/>
        </w:rPr>
        <w:t>第一节 完善综合交通运输网络</w:t>
      </w:r>
      <w:r>
        <w:rPr>
          <w:b w:val="0"/>
          <w:bCs w:val="0"/>
        </w:rPr>
        <w:tab/>
      </w:r>
      <w:r>
        <w:rPr>
          <w:b w:val="0"/>
          <w:bCs w:val="0"/>
        </w:rPr>
        <w:fldChar w:fldCharType="begin"/>
      </w:r>
      <w:r>
        <w:rPr>
          <w:b w:val="0"/>
          <w:bCs w:val="0"/>
        </w:rPr>
        <w:instrText xml:space="preserve"> PAGEREF _Toc61117362 \h </w:instrText>
      </w:r>
      <w:r>
        <w:rPr>
          <w:b w:val="0"/>
          <w:bCs w:val="0"/>
        </w:rPr>
        <w:fldChar w:fldCharType="separate"/>
      </w:r>
      <w:r>
        <w:rPr>
          <w:b w:val="0"/>
          <w:bCs w:val="0"/>
        </w:rPr>
        <w:t>52</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"_Toc61117363" </w:instrText>
      </w:r>
      <w:r>
        <w:rPr>
          <w:b w:val="0"/>
          <w:bCs w:val="0"/>
        </w:rPr>
        <w:fldChar w:fldCharType="separate"/>
      </w:r>
      <w:r>
        <w:rPr>
          <w:rStyle w:val="28"/>
          <w:rFonts w:ascii="楷体" w:hAnsi="楷体"/>
          <w:b w:val="0"/>
          <w:bCs w:val="0"/>
        </w:rPr>
        <w:t>第二节 建设绿色清洁能源基地</w:t>
      </w:r>
      <w:r>
        <w:rPr>
          <w:b w:val="0"/>
          <w:bCs w:val="0"/>
        </w:rPr>
        <w:tab/>
      </w:r>
      <w:r>
        <w:rPr>
          <w:b w:val="0"/>
          <w:bCs w:val="0"/>
        </w:rPr>
        <w:fldChar w:fldCharType="begin"/>
      </w:r>
      <w:r>
        <w:rPr>
          <w:b w:val="0"/>
          <w:bCs w:val="0"/>
        </w:rPr>
        <w:instrText xml:space="preserve"> PAGEREF _Toc61117363 \h </w:instrText>
      </w:r>
      <w:r>
        <w:rPr>
          <w:b w:val="0"/>
          <w:bCs w:val="0"/>
        </w:rPr>
        <w:fldChar w:fldCharType="separate"/>
      </w:r>
      <w:r>
        <w:rPr>
          <w:b w:val="0"/>
          <w:bCs w:val="0"/>
        </w:rPr>
        <w:t>58</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"_Toc61117364" </w:instrText>
      </w:r>
      <w:r>
        <w:rPr>
          <w:b w:val="0"/>
          <w:bCs w:val="0"/>
        </w:rPr>
        <w:fldChar w:fldCharType="separate"/>
      </w:r>
      <w:r>
        <w:rPr>
          <w:rStyle w:val="28"/>
          <w:rFonts w:ascii="楷体" w:hAnsi="楷体"/>
          <w:b w:val="0"/>
          <w:bCs w:val="0"/>
        </w:rPr>
        <w:t>第三节 构筑安全可靠水利设施体系</w:t>
      </w:r>
      <w:r>
        <w:rPr>
          <w:b w:val="0"/>
          <w:bCs w:val="0"/>
        </w:rPr>
        <w:tab/>
      </w:r>
      <w:r>
        <w:rPr>
          <w:b w:val="0"/>
          <w:bCs w:val="0"/>
        </w:rPr>
        <w:fldChar w:fldCharType="begin"/>
      </w:r>
      <w:r>
        <w:rPr>
          <w:b w:val="0"/>
          <w:bCs w:val="0"/>
        </w:rPr>
        <w:instrText xml:space="preserve"> PAGEREF _Toc61117364 \h </w:instrText>
      </w:r>
      <w:r>
        <w:rPr>
          <w:b w:val="0"/>
          <w:bCs w:val="0"/>
        </w:rPr>
        <w:fldChar w:fldCharType="separate"/>
      </w:r>
      <w:r>
        <w:rPr>
          <w:b w:val="0"/>
          <w:bCs w:val="0"/>
        </w:rPr>
        <w:t>59</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"_Toc61117365" </w:instrText>
      </w:r>
      <w:r>
        <w:rPr>
          <w:b w:val="0"/>
          <w:bCs w:val="0"/>
        </w:rPr>
        <w:fldChar w:fldCharType="separate"/>
      </w:r>
      <w:r>
        <w:rPr>
          <w:rStyle w:val="28"/>
          <w:rFonts w:ascii="楷体" w:hAnsi="楷体"/>
          <w:b w:val="0"/>
          <w:bCs w:val="0"/>
        </w:rPr>
        <w:t>第四节 合理布局市政设施网络</w:t>
      </w:r>
      <w:r>
        <w:rPr>
          <w:b w:val="0"/>
          <w:bCs w:val="0"/>
        </w:rPr>
        <w:tab/>
      </w:r>
      <w:r>
        <w:rPr>
          <w:b w:val="0"/>
          <w:bCs w:val="0"/>
        </w:rPr>
        <w:fldChar w:fldCharType="begin"/>
      </w:r>
      <w:r>
        <w:rPr>
          <w:b w:val="0"/>
          <w:bCs w:val="0"/>
        </w:rPr>
        <w:instrText xml:space="preserve"> PAGEREF _Toc61117365 \h </w:instrText>
      </w:r>
      <w:r>
        <w:rPr>
          <w:b w:val="0"/>
          <w:bCs w:val="0"/>
        </w:rPr>
        <w:fldChar w:fldCharType="separate"/>
      </w:r>
      <w:r>
        <w:rPr>
          <w:b w:val="0"/>
          <w:bCs w:val="0"/>
        </w:rPr>
        <w:t>61</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"_Toc61117366" </w:instrText>
      </w:r>
      <w:r>
        <w:rPr>
          <w:b w:val="0"/>
          <w:bCs w:val="0"/>
        </w:rPr>
        <w:fldChar w:fldCharType="separate"/>
      </w:r>
      <w:r>
        <w:rPr>
          <w:rStyle w:val="28"/>
          <w:rFonts w:ascii="楷体" w:hAnsi="楷体"/>
          <w:b w:val="0"/>
          <w:bCs w:val="0"/>
        </w:rPr>
        <w:t>第五节 推进新型基础设施建设</w:t>
      </w:r>
      <w:r>
        <w:rPr>
          <w:b w:val="0"/>
          <w:bCs w:val="0"/>
        </w:rPr>
        <w:tab/>
      </w:r>
      <w:r>
        <w:rPr>
          <w:b w:val="0"/>
          <w:bCs w:val="0"/>
        </w:rPr>
        <w:fldChar w:fldCharType="begin"/>
      </w:r>
      <w:r>
        <w:rPr>
          <w:b w:val="0"/>
          <w:bCs w:val="0"/>
        </w:rPr>
        <w:instrText xml:space="preserve"> PAGEREF _Toc61117366 \h </w:instrText>
      </w:r>
      <w:r>
        <w:rPr>
          <w:b w:val="0"/>
          <w:bCs w:val="0"/>
        </w:rPr>
        <w:fldChar w:fldCharType="separate"/>
      </w:r>
      <w:r>
        <w:rPr>
          <w:b w:val="0"/>
          <w:bCs w:val="0"/>
        </w:rPr>
        <w:t>63</w:t>
      </w:r>
      <w:r>
        <w:rPr>
          <w:b w:val="0"/>
          <w:bCs w:val="0"/>
        </w:rPr>
        <w:fldChar w:fldCharType="end"/>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"_Toc61117367" </w:instrText>
      </w:r>
      <w:r>
        <w:rPr>
          <w:b w:val="0"/>
          <w:bCs w:val="0"/>
        </w:rPr>
        <w:fldChar w:fldCharType="separate"/>
      </w:r>
      <w:r>
        <w:rPr>
          <w:rStyle w:val="28"/>
          <w:rFonts w:ascii="黑体" w:hAnsi="黑体"/>
          <w:b w:val="0"/>
          <w:bCs w:val="0"/>
        </w:rPr>
        <w:t>第七章 打造乡村振兴示范样板</w:t>
      </w:r>
      <w:r>
        <w:rPr>
          <w:b w:val="0"/>
          <w:bCs w:val="0"/>
        </w:rPr>
        <w:tab/>
      </w:r>
      <w:r>
        <w:rPr>
          <w:b w:val="0"/>
          <w:bCs w:val="0"/>
        </w:rPr>
        <w:fldChar w:fldCharType="begin"/>
      </w:r>
      <w:r>
        <w:rPr>
          <w:b w:val="0"/>
          <w:bCs w:val="0"/>
        </w:rPr>
        <w:instrText xml:space="preserve"> PAGEREF _Toc61117367 \h </w:instrText>
      </w:r>
      <w:r>
        <w:rPr>
          <w:b w:val="0"/>
          <w:bCs w:val="0"/>
        </w:rPr>
        <w:fldChar w:fldCharType="separate"/>
      </w:r>
      <w:r>
        <w:rPr>
          <w:b w:val="0"/>
          <w:bCs w:val="0"/>
        </w:rPr>
        <w:t>66</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"_Toc61117368" </w:instrText>
      </w:r>
      <w:r>
        <w:rPr>
          <w:b w:val="0"/>
          <w:bCs w:val="0"/>
        </w:rPr>
        <w:fldChar w:fldCharType="separate"/>
      </w:r>
      <w:r>
        <w:rPr>
          <w:rStyle w:val="28"/>
          <w:rFonts w:ascii="楷体" w:hAnsi="楷体"/>
          <w:b w:val="0"/>
          <w:bCs w:val="0"/>
        </w:rPr>
        <w:t>第一节 推进特色产业“五化”建设</w:t>
      </w:r>
      <w:r>
        <w:rPr>
          <w:b w:val="0"/>
          <w:bCs w:val="0"/>
        </w:rPr>
        <w:tab/>
      </w:r>
      <w:r>
        <w:rPr>
          <w:b w:val="0"/>
          <w:bCs w:val="0"/>
        </w:rPr>
        <w:fldChar w:fldCharType="begin"/>
      </w:r>
      <w:r>
        <w:rPr>
          <w:b w:val="0"/>
          <w:bCs w:val="0"/>
        </w:rPr>
        <w:instrText xml:space="preserve"> PAGEREF _Toc61117368 \h </w:instrText>
      </w:r>
      <w:r>
        <w:rPr>
          <w:b w:val="0"/>
          <w:bCs w:val="0"/>
        </w:rPr>
        <w:fldChar w:fldCharType="separate"/>
      </w:r>
      <w:r>
        <w:rPr>
          <w:b w:val="0"/>
          <w:bCs w:val="0"/>
        </w:rPr>
        <w:t>66</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"_Toc61117369" </w:instrText>
      </w:r>
      <w:r>
        <w:rPr>
          <w:b w:val="0"/>
          <w:bCs w:val="0"/>
        </w:rPr>
        <w:fldChar w:fldCharType="separate"/>
      </w:r>
      <w:r>
        <w:rPr>
          <w:rStyle w:val="28"/>
          <w:rFonts w:ascii="楷体" w:hAnsi="楷体"/>
          <w:b w:val="0"/>
          <w:bCs w:val="0"/>
        </w:rPr>
        <w:t>第二节 提升乡村民生福祉水平</w:t>
      </w:r>
      <w:r>
        <w:rPr>
          <w:b w:val="0"/>
          <w:bCs w:val="0"/>
        </w:rPr>
        <w:tab/>
      </w:r>
      <w:r>
        <w:rPr>
          <w:b w:val="0"/>
          <w:bCs w:val="0"/>
        </w:rPr>
        <w:fldChar w:fldCharType="begin"/>
      </w:r>
      <w:r>
        <w:rPr>
          <w:b w:val="0"/>
          <w:bCs w:val="0"/>
        </w:rPr>
        <w:instrText xml:space="preserve"> PAGEREF _Toc61117369 \h </w:instrText>
      </w:r>
      <w:r>
        <w:rPr>
          <w:b w:val="0"/>
          <w:bCs w:val="0"/>
        </w:rPr>
        <w:fldChar w:fldCharType="separate"/>
      </w:r>
      <w:r>
        <w:rPr>
          <w:b w:val="0"/>
          <w:bCs w:val="0"/>
        </w:rPr>
        <w:t>70</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"_Toc61117370" </w:instrText>
      </w:r>
      <w:r>
        <w:rPr>
          <w:b w:val="0"/>
          <w:bCs w:val="0"/>
        </w:rPr>
        <w:fldChar w:fldCharType="separate"/>
      </w:r>
      <w:r>
        <w:rPr>
          <w:rStyle w:val="28"/>
          <w:rFonts w:ascii="楷体" w:hAnsi="楷体"/>
          <w:b w:val="0"/>
          <w:bCs w:val="0"/>
        </w:rPr>
        <w:t>第三节 打造生态宜居绿盈乡村</w:t>
      </w:r>
      <w:r>
        <w:rPr>
          <w:b w:val="0"/>
          <w:bCs w:val="0"/>
        </w:rPr>
        <w:tab/>
      </w:r>
      <w:r>
        <w:rPr>
          <w:b w:val="0"/>
          <w:bCs w:val="0"/>
        </w:rPr>
        <w:fldChar w:fldCharType="begin"/>
      </w:r>
      <w:r>
        <w:rPr>
          <w:b w:val="0"/>
          <w:bCs w:val="0"/>
        </w:rPr>
        <w:instrText xml:space="preserve"> PAGEREF _Toc61117370 \h </w:instrText>
      </w:r>
      <w:r>
        <w:rPr>
          <w:b w:val="0"/>
          <w:bCs w:val="0"/>
        </w:rPr>
        <w:fldChar w:fldCharType="separate"/>
      </w:r>
      <w:r>
        <w:rPr>
          <w:b w:val="0"/>
          <w:bCs w:val="0"/>
        </w:rPr>
        <w:t>72</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"_Toc61117371" </w:instrText>
      </w:r>
      <w:r>
        <w:rPr>
          <w:b w:val="0"/>
          <w:bCs w:val="0"/>
        </w:rPr>
        <w:fldChar w:fldCharType="separate"/>
      </w:r>
      <w:r>
        <w:rPr>
          <w:rStyle w:val="28"/>
          <w:rFonts w:ascii="楷体" w:hAnsi="楷体"/>
          <w:b w:val="0"/>
          <w:bCs w:val="0"/>
        </w:rPr>
        <w:t>第四节 深化农业农村改革</w:t>
      </w:r>
      <w:r>
        <w:rPr>
          <w:b w:val="0"/>
          <w:bCs w:val="0"/>
        </w:rPr>
        <w:tab/>
      </w:r>
      <w:r>
        <w:rPr>
          <w:b w:val="0"/>
          <w:bCs w:val="0"/>
        </w:rPr>
        <w:fldChar w:fldCharType="begin"/>
      </w:r>
      <w:r>
        <w:rPr>
          <w:b w:val="0"/>
          <w:bCs w:val="0"/>
        </w:rPr>
        <w:instrText xml:space="preserve"> PAGEREF _Toc61117371 \h </w:instrText>
      </w:r>
      <w:r>
        <w:rPr>
          <w:b w:val="0"/>
          <w:bCs w:val="0"/>
        </w:rPr>
        <w:fldChar w:fldCharType="separate"/>
      </w:r>
      <w:r>
        <w:rPr>
          <w:b w:val="0"/>
          <w:bCs w:val="0"/>
        </w:rPr>
        <w:t>74</w:t>
      </w:r>
      <w:r>
        <w:rPr>
          <w:b w:val="0"/>
          <w:bCs w:val="0"/>
        </w:rPr>
        <w:fldChar w:fldCharType="end"/>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"_Toc61117372" </w:instrText>
      </w:r>
      <w:r>
        <w:rPr>
          <w:b w:val="0"/>
          <w:bCs w:val="0"/>
        </w:rPr>
        <w:fldChar w:fldCharType="separate"/>
      </w:r>
      <w:r>
        <w:rPr>
          <w:rStyle w:val="28"/>
          <w:rFonts w:ascii="黑体" w:hAnsi="黑体"/>
          <w:b w:val="0"/>
          <w:bCs w:val="0"/>
        </w:rPr>
        <w:t>第八章 构筑山海协同发展格局</w:t>
      </w:r>
      <w:r>
        <w:rPr>
          <w:b w:val="0"/>
          <w:bCs w:val="0"/>
        </w:rPr>
        <w:tab/>
      </w:r>
      <w:r>
        <w:rPr>
          <w:b w:val="0"/>
          <w:bCs w:val="0"/>
        </w:rPr>
        <w:fldChar w:fldCharType="begin"/>
      </w:r>
      <w:r>
        <w:rPr>
          <w:b w:val="0"/>
          <w:bCs w:val="0"/>
        </w:rPr>
        <w:instrText xml:space="preserve"> PAGEREF _Toc61117372 \h </w:instrText>
      </w:r>
      <w:r>
        <w:rPr>
          <w:b w:val="0"/>
          <w:bCs w:val="0"/>
        </w:rPr>
        <w:fldChar w:fldCharType="separate"/>
      </w:r>
      <w:r>
        <w:rPr>
          <w:b w:val="0"/>
          <w:bCs w:val="0"/>
        </w:rPr>
        <w:t>76</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"_Toc61117373" </w:instrText>
      </w:r>
      <w:r>
        <w:rPr>
          <w:b w:val="0"/>
          <w:bCs w:val="0"/>
        </w:rPr>
        <w:fldChar w:fldCharType="separate"/>
      </w:r>
      <w:r>
        <w:rPr>
          <w:rStyle w:val="28"/>
          <w:rFonts w:ascii="楷体" w:hAnsi="楷体"/>
          <w:b w:val="0"/>
          <w:bCs w:val="0"/>
        </w:rPr>
        <w:t>第一节 构建国土空间开发保护新格局</w:t>
      </w:r>
      <w:r>
        <w:rPr>
          <w:b w:val="0"/>
          <w:bCs w:val="0"/>
        </w:rPr>
        <w:tab/>
      </w:r>
      <w:r>
        <w:rPr>
          <w:b w:val="0"/>
          <w:bCs w:val="0"/>
        </w:rPr>
        <w:fldChar w:fldCharType="begin"/>
      </w:r>
      <w:r>
        <w:rPr>
          <w:b w:val="0"/>
          <w:bCs w:val="0"/>
        </w:rPr>
        <w:instrText xml:space="preserve"> PAGEREF _Toc61117373 \h </w:instrText>
      </w:r>
      <w:r>
        <w:rPr>
          <w:b w:val="0"/>
          <w:bCs w:val="0"/>
        </w:rPr>
        <w:fldChar w:fldCharType="separate"/>
      </w:r>
      <w:r>
        <w:rPr>
          <w:b w:val="0"/>
          <w:bCs w:val="0"/>
        </w:rPr>
        <w:t>76</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"_Toc61117374" </w:instrText>
      </w:r>
      <w:r>
        <w:rPr>
          <w:b w:val="0"/>
          <w:bCs w:val="0"/>
        </w:rPr>
        <w:fldChar w:fldCharType="separate"/>
      </w:r>
      <w:r>
        <w:rPr>
          <w:rStyle w:val="28"/>
          <w:rFonts w:ascii="楷体" w:hAnsi="楷体"/>
          <w:b w:val="0"/>
          <w:bCs w:val="0"/>
        </w:rPr>
        <w:t>第二节 提升环湾中心城市能级</w:t>
      </w:r>
      <w:r>
        <w:rPr>
          <w:b w:val="0"/>
          <w:bCs w:val="0"/>
        </w:rPr>
        <w:tab/>
      </w:r>
      <w:r>
        <w:rPr>
          <w:b w:val="0"/>
          <w:bCs w:val="0"/>
        </w:rPr>
        <w:fldChar w:fldCharType="begin"/>
      </w:r>
      <w:r>
        <w:rPr>
          <w:b w:val="0"/>
          <w:bCs w:val="0"/>
        </w:rPr>
        <w:instrText xml:space="preserve"> PAGEREF _Toc61117374 \h </w:instrText>
      </w:r>
      <w:r>
        <w:rPr>
          <w:b w:val="0"/>
          <w:bCs w:val="0"/>
        </w:rPr>
        <w:fldChar w:fldCharType="separate"/>
      </w:r>
      <w:r>
        <w:rPr>
          <w:b w:val="0"/>
          <w:bCs w:val="0"/>
        </w:rPr>
        <w:t>80</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"_Toc61117375" </w:instrText>
      </w:r>
      <w:r>
        <w:rPr>
          <w:b w:val="0"/>
          <w:bCs w:val="0"/>
        </w:rPr>
        <w:fldChar w:fldCharType="separate"/>
      </w:r>
      <w:r>
        <w:rPr>
          <w:rStyle w:val="28"/>
          <w:rFonts w:ascii="楷体" w:hAnsi="楷体"/>
          <w:b w:val="0"/>
          <w:bCs w:val="0"/>
        </w:rPr>
        <w:t>第三节 加快推进县城新型城镇化</w:t>
      </w:r>
      <w:r>
        <w:rPr>
          <w:b w:val="0"/>
          <w:bCs w:val="0"/>
        </w:rPr>
        <w:tab/>
      </w:r>
      <w:r>
        <w:rPr>
          <w:b w:val="0"/>
          <w:bCs w:val="0"/>
        </w:rPr>
        <w:fldChar w:fldCharType="begin"/>
      </w:r>
      <w:r>
        <w:rPr>
          <w:b w:val="0"/>
          <w:bCs w:val="0"/>
        </w:rPr>
        <w:instrText xml:space="preserve"> PAGEREF _Toc61117375 \h </w:instrText>
      </w:r>
      <w:r>
        <w:rPr>
          <w:b w:val="0"/>
          <w:bCs w:val="0"/>
        </w:rPr>
        <w:fldChar w:fldCharType="separate"/>
      </w:r>
      <w:r>
        <w:rPr>
          <w:b w:val="0"/>
          <w:bCs w:val="0"/>
        </w:rPr>
        <w:t>82</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"_Toc61117376" </w:instrText>
      </w:r>
      <w:r>
        <w:rPr>
          <w:b w:val="0"/>
          <w:bCs w:val="0"/>
        </w:rPr>
        <w:fldChar w:fldCharType="separate"/>
      </w:r>
      <w:r>
        <w:rPr>
          <w:rStyle w:val="28"/>
          <w:rFonts w:ascii="楷体" w:hAnsi="楷体"/>
          <w:b w:val="0"/>
          <w:bCs w:val="0"/>
        </w:rPr>
        <w:t>第四节 推进城乡区域融合发展</w:t>
      </w:r>
      <w:r>
        <w:rPr>
          <w:b w:val="0"/>
          <w:bCs w:val="0"/>
        </w:rPr>
        <w:tab/>
      </w:r>
      <w:r>
        <w:rPr>
          <w:b w:val="0"/>
          <w:bCs w:val="0"/>
        </w:rPr>
        <w:fldChar w:fldCharType="begin"/>
      </w:r>
      <w:r>
        <w:rPr>
          <w:b w:val="0"/>
          <w:bCs w:val="0"/>
        </w:rPr>
        <w:instrText xml:space="preserve"> PAGEREF _Toc61117376 \h </w:instrText>
      </w:r>
      <w:r>
        <w:rPr>
          <w:b w:val="0"/>
          <w:bCs w:val="0"/>
        </w:rPr>
        <w:fldChar w:fldCharType="separate"/>
      </w:r>
      <w:r>
        <w:rPr>
          <w:b w:val="0"/>
          <w:bCs w:val="0"/>
        </w:rPr>
        <w:t>84</w:t>
      </w:r>
      <w:r>
        <w:rPr>
          <w:b w:val="0"/>
          <w:bCs w:val="0"/>
        </w:rPr>
        <w:fldChar w:fldCharType="end"/>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"_Toc61117377" </w:instrText>
      </w:r>
      <w:r>
        <w:rPr>
          <w:b w:val="0"/>
          <w:bCs w:val="0"/>
        </w:rPr>
        <w:fldChar w:fldCharType="separate"/>
      </w:r>
      <w:r>
        <w:rPr>
          <w:rStyle w:val="28"/>
          <w:rFonts w:ascii="黑体" w:hAnsi="黑体"/>
          <w:b w:val="0"/>
          <w:bCs w:val="0"/>
        </w:rPr>
        <w:t>第九章 全力推进文化强市建设</w:t>
      </w:r>
      <w:r>
        <w:rPr>
          <w:b w:val="0"/>
          <w:bCs w:val="0"/>
        </w:rPr>
        <w:tab/>
      </w:r>
      <w:r>
        <w:rPr>
          <w:b w:val="0"/>
          <w:bCs w:val="0"/>
        </w:rPr>
        <w:fldChar w:fldCharType="begin"/>
      </w:r>
      <w:r>
        <w:rPr>
          <w:b w:val="0"/>
          <w:bCs w:val="0"/>
        </w:rPr>
        <w:instrText xml:space="preserve"> PAGEREF _Toc61117377 \h </w:instrText>
      </w:r>
      <w:r>
        <w:rPr>
          <w:b w:val="0"/>
          <w:bCs w:val="0"/>
        </w:rPr>
        <w:fldChar w:fldCharType="separate"/>
      </w:r>
      <w:r>
        <w:rPr>
          <w:b w:val="0"/>
          <w:bCs w:val="0"/>
        </w:rPr>
        <w:t>87</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"_Toc61117378" </w:instrText>
      </w:r>
      <w:r>
        <w:rPr>
          <w:b w:val="0"/>
          <w:bCs w:val="0"/>
        </w:rPr>
        <w:fldChar w:fldCharType="separate"/>
      </w:r>
      <w:r>
        <w:rPr>
          <w:rStyle w:val="28"/>
          <w:rFonts w:ascii="楷体" w:hAnsi="楷体"/>
          <w:b w:val="0"/>
          <w:bCs w:val="0"/>
        </w:rPr>
        <w:t>第一节 全面提升社会文明程度</w:t>
      </w:r>
      <w:r>
        <w:rPr>
          <w:b w:val="0"/>
          <w:bCs w:val="0"/>
        </w:rPr>
        <w:tab/>
      </w:r>
      <w:r>
        <w:rPr>
          <w:b w:val="0"/>
          <w:bCs w:val="0"/>
        </w:rPr>
        <w:fldChar w:fldCharType="begin"/>
      </w:r>
      <w:r>
        <w:rPr>
          <w:b w:val="0"/>
          <w:bCs w:val="0"/>
        </w:rPr>
        <w:instrText xml:space="preserve"> PAGEREF _Toc61117378 \h </w:instrText>
      </w:r>
      <w:r>
        <w:rPr>
          <w:b w:val="0"/>
          <w:bCs w:val="0"/>
        </w:rPr>
        <w:fldChar w:fldCharType="separate"/>
      </w:r>
      <w:r>
        <w:rPr>
          <w:b w:val="0"/>
          <w:bCs w:val="0"/>
        </w:rPr>
        <w:t>87</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"_Toc61117379" </w:instrText>
      </w:r>
      <w:r>
        <w:rPr>
          <w:b w:val="0"/>
          <w:bCs w:val="0"/>
        </w:rPr>
        <w:fldChar w:fldCharType="separate"/>
      </w:r>
      <w:r>
        <w:rPr>
          <w:rStyle w:val="28"/>
          <w:rFonts w:ascii="楷体" w:hAnsi="楷体"/>
          <w:b w:val="0"/>
          <w:bCs w:val="0"/>
        </w:rPr>
        <w:t>第二节 提升闽东文化软实力</w:t>
      </w:r>
      <w:r>
        <w:rPr>
          <w:b w:val="0"/>
          <w:bCs w:val="0"/>
        </w:rPr>
        <w:tab/>
      </w:r>
      <w:r>
        <w:rPr>
          <w:b w:val="0"/>
          <w:bCs w:val="0"/>
        </w:rPr>
        <w:fldChar w:fldCharType="begin"/>
      </w:r>
      <w:r>
        <w:rPr>
          <w:b w:val="0"/>
          <w:bCs w:val="0"/>
        </w:rPr>
        <w:instrText xml:space="preserve"> PAGEREF _Toc61117379 \h </w:instrText>
      </w:r>
      <w:r>
        <w:rPr>
          <w:b w:val="0"/>
          <w:bCs w:val="0"/>
        </w:rPr>
        <w:fldChar w:fldCharType="separate"/>
      </w:r>
      <w:r>
        <w:rPr>
          <w:b w:val="0"/>
          <w:bCs w:val="0"/>
        </w:rPr>
        <w:t>88</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"_Toc61117380" </w:instrText>
      </w:r>
      <w:r>
        <w:rPr>
          <w:b w:val="0"/>
          <w:bCs w:val="0"/>
        </w:rPr>
        <w:fldChar w:fldCharType="separate"/>
      </w:r>
      <w:r>
        <w:rPr>
          <w:rStyle w:val="28"/>
          <w:rFonts w:ascii="楷体" w:hAnsi="楷体"/>
          <w:b w:val="0"/>
          <w:bCs w:val="0"/>
        </w:rPr>
        <w:t>第三节 推动文化产业繁荣发展</w:t>
      </w:r>
      <w:r>
        <w:rPr>
          <w:b w:val="0"/>
          <w:bCs w:val="0"/>
        </w:rPr>
        <w:tab/>
      </w:r>
      <w:r>
        <w:rPr>
          <w:b w:val="0"/>
          <w:bCs w:val="0"/>
        </w:rPr>
        <w:fldChar w:fldCharType="begin"/>
      </w:r>
      <w:r>
        <w:rPr>
          <w:b w:val="0"/>
          <w:bCs w:val="0"/>
        </w:rPr>
        <w:instrText xml:space="preserve"> PAGEREF _Toc61117380 \h </w:instrText>
      </w:r>
      <w:r>
        <w:rPr>
          <w:b w:val="0"/>
          <w:bCs w:val="0"/>
        </w:rPr>
        <w:fldChar w:fldCharType="separate"/>
      </w:r>
      <w:r>
        <w:rPr>
          <w:b w:val="0"/>
          <w:bCs w:val="0"/>
        </w:rPr>
        <w:t>91</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"_Toc61117381" </w:instrText>
      </w:r>
      <w:r>
        <w:rPr>
          <w:b w:val="0"/>
          <w:bCs w:val="0"/>
        </w:rPr>
        <w:fldChar w:fldCharType="separate"/>
      </w:r>
      <w:r>
        <w:rPr>
          <w:rStyle w:val="28"/>
          <w:rFonts w:ascii="楷体" w:hAnsi="楷体"/>
          <w:b w:val="0"/>
          <w:bCs w:val="0"/>
        </w:rPr>
        <w:t>第四节 完善提升公共文化服务体系</w:t>
      </w:r>
      <w:r>
        <w:rPr>
          <w:b w:val="0"/>
          <w:bCs w:val="0"/>
        </w:rPr>
        <w:tab/>
      </w:r>
      <w:r>
        <w:rPr>
          <w:b w:val="0"/>
          <w:bCs w:val="0"/>
        </w:rPr>
        <w:fldChar w:fldCharType="begin"/>
      </w:r>
      <w:r>
        <w:rPr>
          <w:b w:val="0"/>
          <w:bCs w:val="0"/>
        </w:rPr>
        <w:instrText xml:space="preserve"> PAGEREF _Toc61117381 \h </w:instrText>
      </w:r>
      <w:r>
        <w:rPr>
          <w:b w:val="0"/>
          <w:bCs w:val="0"/>
        </w:rPr>
        <w:fldChar w:fldCharType="separate"/>
      </w:r>
      <w:r>
        <w:rPr>
          <w:b w:val="0"/>
          <w:bCs w:val="0"/>
        </w:rPr>
        <w:t>93</w:t>
      </w:r>
      <w:r>
        <w:rPr>
          <w:b w:val="0"/>
          <w:bCs w:val="0"/>
        </w:rPr>
        <w:fldChar w:fldCharType="end"/>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"_Toc61117382" </w:instrText>
      </w:r>
      <w:r>
        <w:rPr>
          <w:b w:val="0"/>
          <w:bCs w:val="0"/>
        </w:rPr>
        <w:fldChar w:fldCharType="separate"/>
      </w:r>
      <w:r>
        <w:rPr>
          <w:rStyle w:val="28"/>
          <w:rFonts w:ascii="黑体" w:hAnsi="黑体"/>
          <w:b w:val="0"/>
          <w:bCs w:val="0"/>
        </w:rPr>
        <w:t>第十章 打造生态文明样板城市</w:t>
      </w:r>
      <w:r>
        <w:rPr>
          <w:b w:val="0"/>
          <w:bCs w:val="0"/>
        </w:rPr>
        <w:tab/>
      </w:r>
      <w:r>
        <w:rPr>
          <w:b w:val="0"/>
          <w:bCs w:val="0"/>
        </w:rPr>
        <w:fldChar w:fldCharType="begin"/>
      </w:r>
      <w:r>
        <w:rPr>
          <w:b w:val="0"/>
          <w:bCs w:val="0"/>
        </w:rPr>
        <w:instrText xml:space="preserve"> PAGEREF _Toc61117382 \h </w:instrText>
      </w:r>
      <w:r>
        <w:rPr>
          <w:b w:val="0"/>
          <w:bCs w:val="0"/>
        </w:rPr>
        <w:fldChar w:fldCharType="separate"/>
      </w:r>
      <w:r>
        <w:rPr>
          <w:b w:val="0"/>
          <w:bCs w:val="0"/>
        </w:rPr>
        <w:t>96</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"_Toc61117383" </w:instrText>
      </w:r>
      <w:r>
        <w:rPr>
          <w:b w:val="0"/>
          <w:bCs w:val="0"/>
        </w:rPr>
        <w:fldChar w:fldCharType="separate"/>
      </w:r>
      <w:r>
        <w:rPr>
          <w:rStyle w:val="28"/>
          <w:rFonts w:ascii="楷体" w:hAnsi="楷体"/>
          <w:b w:val="0"/>
          <w:bCs w:val="0"/>
        </w:rPr>
        <w:t>第一节 优化山海生态屏障体系</w:t>
      </w:r>
      <w:r>
        <w:rPr>
          <w:b w:val="0"/>
          <w:bCs w:val="0"/>
        </w:rPr>
        <w:tab/>
      </w:r>
      <w:r>
        <w:rPr>
          <w:b w:val="0"/>
          <w:bCs w:val="0"/>
        </w:rPr>
        <w:fldChar w:fldCharType="begin"/>
      </w:r>
      <w:r>
        <w:rPr>
          <w:b w:val="0"/>
          <w:bCs w:val="0"/>
        </w:rPr>
        <w:instrText xml:space="preserve"> PAGEREF _Toc61117383 \h </w:instrText>
      </w:r>
      <w:r>
        <w:rPr>
          <w:b w:val="0"/>
          <w:bCs w:val="0"/>
        </w:rPr>
        <w:fldChar w:fldCharType="separate"/>
      </w:r>
      <w:r>
        <w:rPr>
          <w:b w:val="0"/>
          <w:bCs w:val="0"/>
        </w:rPr>
        <w:t>96</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"_Toc61117384" </w:instrText>
      </w:r>
      <w:r>
        <w:rPr>
          <w:b w:val="0"/>
          <w:bCs w:val="0"/>
        </w:rPr>
        <w:fldChar w:fldCharType="separate"/>
      </w:r>
      <w:r>
        <w:rPr>
          <w:rStyle w:val="28"/>
          <w:rFonts w:ascii="楷体" w:hAnsi="楷体"/>
          <w:b w:val="0"/>
          <w:bCs w:val="0"/>
        </w:rPr>
        <w:t>第二节 提升生态环境空间容量</w:t>
      </w:r>
      <w:r>
        <w:rPr>
          <w:b w:val="0"/>
          <w:bCs w:val="0"/>
        </w:rPr>
        <w:tab/>
      </w:r>
      <w:r>
        <w:rPr>
          <w:b w:val="0"/>
          <w:bCs w:val="0"/>
        </w:rPr>
        <w:fldChar w:fldCharType="begin"/>
      </w:r>
      <w:r>
        <w:rPr>
          <w:b w:val="0"/>
          <w:bCs w:val="0"/>
        </w:rPr>
        <w:instrText xml:space="preserve"> PAGEREF _Toc61117384 \h </w:instrText>
      </w:r>
      <w:r>
        <w:rPr>
          <w:b w:val="0"/>
          <w:bCs w:val="0"/>
        </w:rPr>
        <w:fldChar w:fldCharType="separate"/>
      </w:r>
      <w:r>
        <w:rPr>
          <w:b w:val="0"/>
          <w:bCs w:val="0"/>
        </w:rPr>
        <w:t>99</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"_Toc61117385" </w:instrText>
      </w:r>
      <w:r>
        <w:rPr>
          <w:b w:val="0"/>
          <w:bCs w:val="0"/>
        </w:rPr>
        <w:fldChar w:fldCharType="separate"/>
      </w:r>
      <w:r>
        <w:rPr>
          <w:rStyle w:val="28"/>
          <w:rFonts w:ascii="楷体" w:hAnsi="楷体"/>
          <w:b w:val="0"/>
          <w:bCs w:val="0"/>
        </w:rPr>
        <w:t>第三节 发展绿色低碳循环经济</w:t>
      </w:r>
      <w:r>
        <w:rPr>
          <w:b w:val="0"/>
          <w:bCs w:val="0"/>
        </w:rPr>
        <w:tab/>
      </w:r>
      <w:r>
        <w:rPr>
          <w:b w:val="0"/>
          <w:bCs w:val="0"/>
        </w:rPr>
        <w:fldChar w:fldCharType="begin"/>
      </w:r>
      <w:r>
        <w:rPr>
          <w:b w:val="0"/>
          <w:bCs w:val="0"/>
        </w:rPr>
        <w:instrText xml:space="preserve"> PAGEREF _Toc61117385 \h </w:instrText>
      </w:r>
      <w:r>
        <w:rPr>
          <w:b w:val="0"/>
          <w:bCs w:val="0"/>
        </w:rPr>
        <w:fldChar w:fldCharType="separate"/>
      </w:r>
      <w:r>
        <w:rPr>
          <w:b w:val="0"/>
          <w:bCs w:val="0"/>
        </w:rPr>
        <w:t>101</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"_Toc61117386" </w:instrText>
      </w:r>
      <w:r>
        <w:rPr>
          <w:b w:val="0"/>
          <w:bCs w:val="0"/>
        </w:rPr>
        <w:fldChar w:fldCharType="separate"/>
      </w:r>
      <w:r>
        <w:rPr>
          <w:rStyle w:val="28"/>
          <w:rFonts w:ascii="楷体" w:hAnsi="楷体"/>
          <w:b w:val="0"/>
          <w:bCs w:val="0"/>
        </w:rPr>
        <w:t>第四节 深化国家生态文明试验区建设</w:t>
      </w:r>
      <w:r>
        <w:rPr>
          <w:b w:val="0"/>
          <w:bCs w:val="0"/>
        </w:rPr>
        <w:tab/>
      </w:r>
      <w:r>
        <w:rPr>
          <w:b w:val="0"/>
          <w:bCs w:val="0"/>
        </w:rPr>
        <w:fldChar w:fldCharType="begin"/>
      </w:r>
      <w:r>
        <w:rPr>
          <w:b w:val="0"/>
          <w:bCs w:val="0"/>
        </w:rPr>
        <w:instrText xml:space="preserve"> PAGEREF _Toc61117386 \h </w:instrText>
      </w:r>
      <w:r>
        <w:rPr>
          <w:b w:val="0"/>
          <w:bCs w:val="0"/>
        </w:rPr>
        <w:fldChar w:fldCharType="separate"/>
      </w:r>
      <w:r>
        <w:rPr>
          <w:b w:val="0"/>
          <w:bCs w:val="0"/>
        </w:rPr>
        <w:t>103</w:t>
      </w:r>
      <w:r>
        <w:rPr>
          <w:b w:val="0"/>
          <w:bCs w:val="0"/>
        </w:rPr>
        <w:fldChar w:fldCharType="end"/>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"_Toc61117387" </w:instrText>
      </w:r>
      <w:r>
        <w:rPr>
          <w:b w:val="0"/>
          <w:bCs w:val="0"/>
        </w:rPr>
        <w:fldChar w:fldCharType="separate"/>
      </w:r>
      <w:r>
        <w:rPr>
          <w:rStyle w:val="28"/>
          <w:rFonts w:ascii="黑体" w:hAnsi="黑体"/>
          <w:b w:val="0"/>
          <w:bCs w:val="0"/>
        </w:rPr>
        <w:t>第十一章 全面提升开放合作水平</w:t>
      </w:r>
      <w:r>
        <w:rPr>
          <w:b w:val="0"/>
          <w:bCs w:val="0"/>
        </w:rPr>
        <w:tab/>
      </w:r>
      <w:r>
        <w:rPr>
          <w:b w:val="0"/>
          <w:bCs w:val="0"/>
        </w:rPr>
        <w:fldChar w:fldCharType="begin"/>
      </w:r>
      <w:r>
        <w:rPr>
          <w:b w:val="0"/>
          <w:bCs w:val="0"/>
        </w:rPr>
        <w:instrText xml:space="preserve"> PAGEREF _Toc61117387 \h </w:instrText>
      </w:r>
      <w:r>
        <w:rPr>
          <w:b w:val="0"/>
          <w:bCs w:val="0"/>
        </w:rPr>
        <w:fldChar w:fldCharType="separate"/>
      </w:r>
      <w:r>
        <w:rPr>
          <w:b w:val="0"/>
          <w:bCs w:val="0"/>
        </w:rPr>
        <w:t>105</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"_Toc61117388" </w:instrText>
      </w:r>
      <w:r>
        <w:rPr>
          <w:b w:val="0"/>
          <w:bCs w:val="0"/>
        </w:rPr>
        <w:fldChar w:fldCharType="separate"/>
      </w:r>
      <w:r>
        <w:rPr>
          <w:rStyle w:val="28"/>
          <w:rFonts w:ascii="楷体" w:hAnsi="楷体"/>
          <w:b w:val="0"/>
          <w:bCs w:val="0"/>
        </w:rPr>
        <w:t>第一节 构建对外开放新格局</w:t>
      </w:r>
      <w:r>
        <w:rPr>
          <w:b w:val="0"/>
          <w:bCs w:val="0"/>
        </w:rPr>
        <w:tab/>
      </w:r>
      <w:r>
        <w:rPr>
          <w:b w:val="0"/>
          <w:bCs w:val="0"/>
        </w:rPr>
        <w:fldChar w:fldCharType="begin"/>
      </w:r>
      <w:r>
        <w:rPr>
          <w:b w:val="0"/>
          <w:bCs w:val="0"/>
        </w:rPr>
        <w:instrText xml:space="preserve"> PAGEREF _Toc61117388 \h </w:instrText>
      </w:r>
      <w:r>
        <w:rPr>
          <w:b w:val="0"/>
          <w:bCs w:val="0"/>
        </w:rPr>
        <w:fldChar w:fldCharType="separate"/>
      </w:r>
      <w:r>
        <w:rPr>
          <w:b w:val="0"/>
          <w:bCs w:val="0"/>
        </w:rPr>
        <w:t>105</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"_Toc61117389" </w:instrText>
      </w:r>
      <w:r>
        <w:rPr>
          <w:b w:val="0"/>
          <w:bCs w:val="0"/>
        </w:rPr>
        <w:fldChar w:fldCharType="separate"/>
      </w:r>
      <w:r>
        <w:rPr>
          <w:rStyle w:val="28"/>
          <w:rFonts w:ascii="楷体" w:hAnsi="楷体"/>
          <w:b w:val="0"/>
          <w:bCs w:val="0"/>
        </w:rPr>
        <w:t>第二节 全面推动区域协同发展</w:t>
      </w:r>
      <w:r>
        <w:rPr>
          <w:b w:val="0"/>
          <w:bCs w:val="0"/>
        </w:rPr>
        <w:tab/>
      </w:r>
      <w:r>
        <w:rPr>
          <w:b w:val="0"/>
          <w:bCs w:val="0"/>
        </w:rPr>
        <w:fldChar w:fldCharType="begin"/>
      </w:r>
      <w:r>
        <w:rPr>
          <w:b w:val="0"/>
          <w:bCs w:val="0"/>
        </w:rPr>
        <w:instrText xml:space="preserve"> PAGEREF _Toc61117389 \h </w:instrText>
      </w:r>
      <w:r>
        <w:rPr>
          <w:b w:val="0"/>
          <w:bCs w:val="0"/>
        </w:rPr>
        <w:fldChar w:fldCharType="separate"/>
      </w:r>
      <w:r>
        <w:rPr>
          <w:b w:val="0"/>
          <w:bCs w:val="0"/>
        </w:rPr>
        <w:t>107</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"_Toc61117390" </w:instrText>
      </w:r>
      <w:r>
        <w:rPr>
          <w:b w:val="0"/>
          <w:bCs w:val="0"/>
        </w:rPr>
        <w:fldChar w:fldCharType="separate"/>
      </w:r>
      <w:r>
        <w:rPr>
          <w:rStyle w:val="28"/>
          <w:rFonts w:ascii="楷体" w:hAnsi="楷体"/>
          <w:b w:val="0"/>
          <w:bCs w:val="0"/>
        </w:rPr>
        <w:t>第三节 探索宁台融合发展新路</w:t>
      </w:r>
      <w:r>
        <w:rPr>
          <w:b w:val="0"/>
          <w:bCs w:val="0"/>
        </w:rPr>
        <w:tab/>
      </w:r>
      <w:r>
        <w:rPr>
          <w:b w:val="0"/>
          <w:bCs w:val="0"/>
        </w:rPr>
        <w:fldChar w:fldCharType="begin"/>
      </w:r>
      <w:r>
        <w:rPr>
          <w:b w:val="0"/>
          <w:bCs w:val="0"/>
        </w:rPr>
        <w:instrText xml:space="preserve"> PAGEREF _Toc61117390 \h </w:instrText>
      </w:r>
      <w:r>
        <w:rPr>
          <w:b w:val="0"/>
          <w:bCs w:val="0"/>
        </w:rPr>
        <w:fldChar w:fldCharType="separate"/>
      </w:r>
      <w:r>
        <w:rPr>
          <w:b w:val="0"/>
          <w:bCs w:val="0"/>
        </w:rPr>
        <w:t>109</w:t>
      </w:r>
      <w:r>
        <w:rPr>
          <w:b w:val="0"/>
          <w:bCs w:val="0"/>
        </w:rPr>
        <w:fldChar w:fldCharType="end"/>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"_Toc61117391" </w:instrText>
      </w:r>
      <w:r>
        <w:rPr>
          <w:b w:val="0"/>
          <w:bCs w:val="0"/>
        </w:rPr>
        <w:fldChar w:fldCharType="separate"/>
      </w:r>
      <w:r>
        <w:rPr>
          <w:rStyle w:val="28"/>
          <w:rFonts w:ascii="黑体" w:hAnsi="黑体"/>
          <w:b w:val="0"/>
          <w:bCs w:val="0"/>
        </w:rPr>
        <w:t>第十二章 建设更高品质幸福宁德</w:t>
      </w:r>
      <w:r>
        <w:rPr>
          <w:b w:val="0"/>
          <w:bCs w:val="0"/>
        </w:rPr>
        <w:tab/>
      </w:r>
      <w:r>
        <w:rPr>
          <w:b w:val="0"/>
          <w:bCs w:val="0"/>
        </w:rPr>
        <w:fldChar w:fldCharType="begin"/>
      </w:r>
      <w:r>
        <w:rPr>
          <w:b w:val="0"/>
          <w:bCs w:val="0"/>
        </w:rPr>
        <w:instrText xml:space="preserve"> PAGEREF _Toc61117391 \h </w:instrText>
      </w:r>
      <w:r>
        <w:rPr>
          <w:b w:val="0"/>
          <w:bCs w:val="0"/>
        </w:rPr>
        <w:fldChar w:fldCharType="separate"/>
      </w:r>
      <w:r>
        <w:rPr>
          <w:b w:val="0"/>
          <w:bCs w:val="0"/>
        </w:rPr>
        <w:t>111</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"_Toc61117392" </w:instrText>
      </w:r>
      <w:r>
        <w:rPr>
          <w:b w:val="0"/>
          <w:bCs w:val="0"/>
        </w:rPr>
        <w:fldChar w:fldCharType="separate"/>
      </w:r>
      <w:r>
        <w:rPr>
          <w:rStyle w:val="28"/>
          <w:rFonts w:ascii="楷体" w:hAnsi="楷体"/>
          <w:b w:val="0"/>
          <w:bCs w:val="0"/>
        </w:rPr>
        <w:t>第一节 多渠道促进居民持续增收</w:t>
      </w:r>
      <w:r>
        <w:rPr>
          <w:b w:val="0"/>
          <w:bCs w:val="0"/>
        </w:rPr>
        <w:tab/>
      </w:r>
      <w:r>
        <w:rPr>
          <w:b w:val="0"/>
          <w:bCs w:val="0"/>
        </w:rPr>
        <w:fldChar w:fldCharType="begin"/>
      </w:r>
      <w:r>
        <w:rPr>
          <w:b w:val="0"/>
          <w:bCs w:val="0"/>
        </w:rPr>
        <w:instrText xml:space="preserve"> PAGEREF _Toc61117392 \h </w:instrText>
      </w:r>
      <w:r>
        <w:rPr>
          <w:b w:val="0"/>
          <w:bCs w:val="0"/>
        </w:rPr>
        <w:fldChar w:fldCharType="separate"/>
      </w:r>
      <w:r>
        <w:rPr>
          <w:b w:val="0"/>
          <w:bCs w:val="0"/>
        </w:rPr>
        <w:t>111</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"_Toc61117393" </w:instrText>
      </w:r>
      <w:r>
        <w:rPr>
          <w:b w:val="0"/>
          <w:bCs w:val="0"/>
        </w:rPr>
        <w:fldChar w:fldCharType="separate"/>
      </w:r>
      <w:r>
        <w:rPr>
          <w:rStyle w:val="28"/>
          <w:rFonts w:ascii="楷体" w:hAnsi="楷体"/>
          <w:b w:val="0"/>
          <w:bCs w:val="0"/>
        </w:rPr>
        <w:t>第二节 全方位推动教育协调发展</w:t>
      </w:r>
      <w:r>
        <w:rPr>
          <w:b w:val="0"/>
          <w:bCs w:val="0"/>
        </w:rPr>
        <w:tab/>
      </w:r>
      <w:r>
        <w:rPr>
          <w:b w:val="0"/>
          <w:bCs w:val="0"/>
        </w:rPr>
        <w:fldChar w:fldCharType="begin"/>
      </w:r>
      <w:r>
        <w:rPr>
          <w:b w:val="0"/>
          <w:bCs w:val="0"/>
        </w:rPr>
        <w:instrText xml:space="preserve"> PAGEREF _Toc61117393 \h </w:instrText>
      </w:r>
      <w:r>
        <w:rPr>
          <w:b w:val="0"/>
          <w:bCs w:val="0"/>
        </w:rPr>
        <w:fldChar w:fldCharType="separate"/>
      </w:r>
      <w:r>
        <w:rPr>
          <w:b w:val="0"/>
          <w:bCs w:val="0"/>
        </w:rPr>
        <w:t>113</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"_Toc61117394" </w:instrText>
      </w:r>
      <w:r>
        <w:rPr>
          <w:b w:val="0"/>
          <w:bCs w:val="0"/>
        </w:rPr>
        <w:fldChar w:fldCharType="separate"/>
      </w:r>
      <w:r>
        <w:rPr>
          <w:rStyle w:val="28"/>
          <w:rFonts w:ascii="楷体" w:hAnsi="楷体"/>
          <w:b w:val="0"/>
          <w:bCs w:val="0"/>
        </w:rPr>
        <w:t>第三节 健全卫生健康服务体系</w:t>
      </w:r>
      <w:r>
        <w:rPr>
          <w:b w:val="0"/>
          <w:bCs w:val="0"/>
        </w:rPr>
        <w:tab/>
      </w:r>
      <w:r>
        <w:rPr>
          <w:b w:val="0"/>
          <w:bCs w:val="0"/>
        </w:rPr>
        <w:fldChar w:fldCharType="begin"/>
      </w:r>
      <w:r>
        <w:rPr>
          <w:b w:val="0"/>
          <w:bCs w:val="0"/>
        </w:rPr>
        <w:instrText xml:space="preserve"> PAGEREF _Toc61117394 \h </w:instrText>
      </w:r>
      <w:r>
        <w:rPr>
          <w:b w:val="0"/>
          <w:bCs w:val="0"/>
        </w:rPr>
        <w:fldChar w:fldCharType="separate"/>
      </w:r>
      <w:r>
        <w:rPr>
          <w:b w:val="0"/>
          <w:bCs w:val="0"/>
        </w:rPr>
        <w:t>116</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"_Toc61117395" </w:instrText>
      </w:r>
      <w:r>
        <w:rPr>
          <w:b w:val="0"/>
          <w:bCs w:val="0"/>
        </w:rPr>
        <w:fldChar w:fldCharType="separate"/>
      </w:r>
      <w:r>
        <w:rPr>
          <w:rStyle w:val="28"/>
          <w:rFonts w:ascii="楷体" w:hAnsi="楷体"/>
          <w:b w:val="0"/>
          <w:bCs w:val="0"/>
        </w:rPr>
        <w:t>第四节 构建多层次社会保障体系</w:t>
      </w:r>
      <w:r>
        <w:rPr>
          <w:b w:val="0"/>
          <w:bCs w:val="0"/>
        </w:rPr>
        <w:tab/>
      </w:r>
      <w:r>
        <w:rPr>
          <w:b w:val="0"/>
          <w:bCs w:val="0"/>
        </w:rPr>
        <w:fldChar w:fldCharType="begin"/>
      </w:r>
      <w:r>
        <w:rPr>
          <w:b w:val="0"/>
          <w:bCs w:val="0"/>
        </w:rPr>
        <w:instrText xml:space="preserve"> PAGEREF _Toc61117395 \h </w:instrText>
      </w:r>
      <w:r>
        <w:rPr>
          <w:b w:val="0"/>
          <w:bCs w:val="0"/>
        </w:rPr>
        <w:fldChar w:fldCharType="separate"/>
      </w:r>
      <w:r>
        <w:rPr>
          <w:b w:val="0"/>
          <w:bCs w:val="0"/>
        </w:rPr>
        <w:t>118</w:t>
      </w:r>
      <w:r>
        <w:rPr>
          <w:b w:val="0"/>
          <w:bCs w:val="0"/>
        </w:rPr>
        <w:fldChar w:fldCharType="end"/>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"_Toc61117396" </w:instrText>
      </w:r>
      <w:r>
        <w:rPr>
          <w:b w:val="0"/>
          <w:bCs w:val="0"/>
        </w:rPr>
        <w:fldChar w:fldCharType="separate"/>
      </w:r>
      <w:r>
        <w:rPr>
          <w:rStyle w:val="28"/>
          <w:rFonts w:ascii="黑体" w:hAnsi="黑体"/>
          <w:b w:val="0"/>
          <w:bCs w:val="0"/>
        </w:rPr>
        <w:t>第十三章 推动市域社会治理现代化</w:t>
      </w:r>
      <w:r>
        <w:rPr>
          <w:b w:val="0"/>
          <w:bCs w:val="0"/>
        </w:rPr>
        <w:tab/>
      </w:r>
      <w:r>
        <w:rPr>
          <w:b w:val="0"/>
          <w:bCs w:val="0"/>
        </w:rPr>
        <w:fldChar w:fldCharType="begin"/>
      </w:r>
      <w:r>
        <w:rPr>
          <w:b w:val="0"/>
          <w:bCs w:val="0"/>
        </w:rPr>
        <w:instrText xml:space="preserve"> PAGEREF _Toc61117396 \h </w:instrText>
      </w:r>
      <w:r>
        <w:rPr>
          <w:b w:val="0"/>
          <w:bCs w:val="0"/>
        </w:rPr>
        <w:fldChar w:fldCharType="separate"/>
      </w:r>
      <w:r>
        <w:rPr>
          <w:b w:val="0"/>
          <w:bCs w:val="0"/>
        </w:rPr>
        <w:t>121</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"_Toc61117397" </w:instrText>
      </w:r>
      <w:r>
        <w:rPr>
          <w:b w:val="0"/>
          <w:bCs w:val="0"/>
        </w:rPr>
        <w:fldChar w:fldCharType="separate"/>
      </w:r>
      <w:r>
        <w:rPr>
          <w:rStyle w:val="28"/>
          <w:rFonts w:ascii="楷体" w:hAnsi="楷体"/>
          <w:b w:val="0"/>
          <w:bCs w:val="0"/>
        </w:rPr>
        <w:t>第一节 健全基层社会治理体系</w:t>
      </w:r>
      <w:r>
        <w:rPr>
          <w:b w:val="0"/>
          <w:bCs w:val="0"/>
        </w:rPr>
        <w:tab/>
      </w:r>
      <w:r>
        <w:rPr>
          <w:b w:val="0"/>
          <w:bCs w:val="0"/>
        </w:rPr>
        <w:fldChar w:fldCharType="begin"/>
      </w:r>
      <w:r>
        <w:rPr>
          <w:b w:val="0"/>
          <w:bCs w:val="0"/>
        </w:rPr>
        <w:instrText xml:space="preserve"> PAGEREF _Toc61117397 \h </w:instrText>
      </w:r>
      <w:r>
        <w:rPr>
          <w:b w:val="0"/>
          <w:bCs w:val="0"/>
        </w:rPr>
        <w:fldChar w:fldCharType="separate"/>
      </w:r>
      <w:r>
        <w:rPr>
          <w:b w:val="0"/>
          <w:bCs w:val="0"/>
        </w:rPr>
        <w:t>121</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"_Toc61117398" </w:instrText>
      </w:r>
      <w:r>
        <w:rPr>
          <w:b w:val="0"/>
          <w:bCs w:val="0"/>
        </w:rPr>
        <w:fldChar w:fldCharType="separate"/>
      </w:r>
      <w:r>
        <w:rPr>
          <w:rStyle w:val="28"/>
          <w:rFonts w:ascii="楷体" w:hAnsi="楷体"/>
          <w:b w:val="0"/>
          <w:bCs w:val="0"/>
        </w:rPr>
        <w:t>第二节 加快推动平安宁德建设</w:t>
      </w:r>
      <w:r>
        <w:rPr>
          <w:b w:val="0"/>
          <w:bCs w:val="0"/>
        </w:rPr>
        <w:tab/>
      </w:r>
      <w:r>
        <w:rPr>
          <w:b w:val="0"/>
          <w:bCs w:val="0"/>
        </w:rPr>
        <w:fldChar w:fldCharType="begin"/>
      </w:r>
      <w:r>
        <w:rPr>
          <w:b w:val="0"/>
          <w:bCs w:val="0"/>
        </w:rPr>
        <w:instrText xml:space="preserve"> PAGEREF _Toc61117398 \h </w:instrText>
      </w:r>
      <w:r>
        <w:rPr>
          <w:b w:val="0"/>
          <w:bCs w:val="0"/>
        </w:rPr>
        <w:fldChar w:fldCharType="separate"/>
      </w:r>
      <w:r>
        <w:rPr>
          <w:b w:val="0"/>
          <w:bCs w:val="0"/>
        </w:rPr>
        <w:t>123</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"_Toc61117399" </w:instrText>
      </w:r>
      <w:r>
        <w:rPr>
          <w:b w:val="0"/>
          <w:bCs w:val="0"/>
        </w:rPr>
        <w:fldChar w:fldCharType="separate"/>
      </w:r>
      <w:r>
        <w:rPr>
          <w:rStyle w:val="28"/>
          <w:rFonts w:ascii="楷体" w:hAnsi="楷体"/>
          <w:b w:val="0"/>
          <w:bCs w:val="0"/>
        </w:rPr>
        <w:t>第三节 持续深化法治宁德建设</w:t>
      </w:r>
      <w:r>
        <w:rPr>
          <w:b w:val="0"/>
          <w:bCs w:val="0"/>
        </w:rPr>
        <w:tab/>
      </w:r>
      <w:r>
        <w:rPr>
          <w:b w:val="0"/>
          <w:bCs w:val="0"/>
        </w:rPr>
        <w:fldChar w:fldCharType="begin"/>
      </w:r>
      <w:r>
        <w:rPr>
          <w:b w:val="0"/>
          <w:bCs w:val="0"/>
        </w:rPr>
        <w:instrText xml:space="preserve"> PAGEREF _Toc61117399 \h </w:instrText>
      </w:r>
      <w:r>
        <w:rPr>
          <w:b w:val="0"/>
          <w:bCs w:val="0"/>
        </w:rPr>
        <w:fldChar w:fldCharType="separate"/>
      </w:r>
      <w:r>
        <w:rPr>
          <w:b w:val="0"/>
          <w:bCs w:val="0"/>
        </w:rPr>
        <w:t>126</w:t>
      </w:r>
      <w:r>
        <w:rPr>
          <w:b w:val="0"/>
          <w:bCs w:val="0"/>
        </w:rPr>
        <w:fldChar w:fldCharType="end"/>
      </w:r>
      <w:r>
        <w:rPr>
          <w:b w:val="0"/>
          <w:bCs w:val="0"/>
        </w:rPr>
        <w:fldChar w:fldCharType="end"/>
      </w:r>
    </w:p>
    <w:p>
      <w:pPr>
        <w:pStyle w:val="16"/>
        <w:tabs>
          <w:tab w:val="right" w:leader="dot" w:pos="8296"/>
        </w:tabs>
        <w:spacing w:before="78" w:after="78"/>
        <w:ind w:firstLine="301"/>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"_Toc61117400" </w:instrText>
      </w:r>
      <w:r>
        <w:rPr>
          <w:b w:val="0"/>
          <w:bCs w:val="0"/>
        </w:rPr>
        <w:fldChar w:fldCharType="separate"/>
      </w:r>
      <w:r>
        <w:rPr>
          <w:rStyle w:val="28"/>
          <w:rFonts w:ascii="黑体" w:hAnsi="黑体"/>
          <w:b w:val="0"/>
          <w:bCs w:val="0"/>
        </w:rPr>
        <w:t>第十四章 强化规划实施保障</w:t>
      </w:r>
      <w:r>
        <w:rPr>
          <w:b w:val="0"/>
          <w:bCs w:val="0"/>
        </w:rPr>
        <w:tab/>
      </w:r>
      <w:r>
        <w:rPr>
          <w:b w:val="0"/>
          <w:bCs w:val="0"/>
        </w:rPr>
        <w:fldChar w:fldCharType="begin"/>
      </w:r>
      <w:r>
        <w:rPr>
          <w:b w:val="0"/>
          <w:bCs w:val="0"/>
        </w:rPr>
        <w:instrText xml:space="preserve"> PAGEREF _Toc61117400 \h </w:instrText>
      </w:r>
      <w:r>
        <w:rPr>
          <w:b w:val="0"/>
          <w:bCs w:val="0"/>
        </w:rPr>
        <w:fldChar w:fldCharType="separate"/>
      </w:r>
      <w:r>
        <w:rPr>
          <w:b w:val="0"/>
          <w:bCs w:val="0"/>
        </w:rPr>
        <w:t>129</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"_Toc61117401" </w:instrText>
      </w:r>
      <w:r>
        <w:rPr>
          <w:b w:val="0"/>
          <w:bCs w:val="0"/>
        </w:rPr>
        <w:fldChar w:fldCharType="separate"/>
      </w:r>
      <w:r>
        <w:rPr>
          <w:rStyle w:val="28"/>
          <w:rFonts w:ascii="楷体" w:hAnsi="楷体"/>
          <w:b w:val="0"/>
          <w:bCs w:val="0"/>
        </w:rPr>
        <w:t>第一节 坚持党的全面领导</w:t>
      </w:r>
      <w:r>
        <w:rPr>
          <w:b w:val="0"/>
          <w:bCs w:val="0"/>
        </w:rPr>
        <w:tab/>
      </w:r>
      <w:r>
        <w:rPr>
          <w:b w:val="0"/>
          <w:bCs w:val="0"/>
        </w:rPr>
        <w:fldChar w:fldCharType="begin"/>
      </w:r>
      <w:r>
        <w:rPr>
          <w:b w:val="0"/>
          <w:bCs w:val="0"/>
        </w:rPr>
        <w:instrText xml:space="preserve"> PAGEREF _Toc61117401 \h </w:instrText>
      </w:r>
      <w:r>
        <w:rPr>
          <w:b w:val="0"/>
          <w:bCs w:val="0"/>
        </w:rPr>
        <w:fldChar w:fldCharType="separate"/>
      </w:r>
      <w:r>
        <w:rPr>
          <w:b w:val="0"/>
          <w:bCs w:val="0"/>
        </w:rPr>
        <w:t>129</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"_Toc61117402" </w:instrText>
      </w:r>
      <w:r>
        <w:rPr>
          <w:b w:val="0"/>
          <w:bCs w:val="0"/>
        </w:rPr>
        <w:fldChar w:fldCharType="separate"/>
      </w:r>
      <w:r>
        <w:rPr>
          <w:rStyle w:val="28"/>
          <w:rFonts w:ascii="楷体" w:hAnsi="楷体"/>
          <w:b w:val="0"/>
          <w:bCs w:val="0"/>
        </w:rPr>
        <w:t>第二节 健全统一规划体系</w:t>
      </w:r>
      <w:r>
        <w:rPr>
          <w:b w:val="0"/>
          <w:bCs w:val="0"/>
        </w:rPr>
        <w:tab/>
      </w:r>
      <w:r>
        <w:rPr>
          <w:b w:val="0"/>
          <w:bCs w:val="0"/>
        </w:rPr>
        <w:fldChar w:fldCharType="begin"/>
      </w:r>
      <w:r>
        <w:rPr>
          <w:b w:val="0"/>
          <w:bCs w:val="0"/>
        </w:rPr>
        <w:instrText xml:space="preserve"> PAGEREF _Toc61117402 \h </w:instrText>
      </w:r>
      <w:r>
        <w:rPr>
          <w:b w:val="0"/>
          <w:bCs w:val="0"/>
        </w:rPr>
        <w:fldChar w:fldCharType="separate"/>
      </w:r>
      <w:r>
        <w:rPr>
          <w:b w:val="0"/>
          <w:bCs w:val="0"/>
        </w:rPr>
        <w:t>130</w:t>
      </w:r>
      <w:r>
        <w:rPr>
          <w:b w:val="0"/>
          <w:bCs w:val="0"/>
        </w:rPr>
        <w:fldChar w:fldCharType="end"/>
      </w:r>
      <w:r>
        <w:rPr>
          <w:b w:val="0"/>
          <w:bCs w:val="0"/>
        </w:rPr>
        <w:fldChar w:fldCharType="end"/>
      </w:r>
    </w:p>
    <w:p>
      <w:pPr>
        <w:pStyle w:val="20"/>
        <w:spacing w:before="46" w:after="46"/>
        <w:ind w:left="600" w:firstLine="300"/>
        <w:rPr>
          <w:rFonts w:asciiTheme="minorHAnsi" w:hAnsiTheme="minorHAnsi" w:eastAsiaTheme="minorEastAsia" w:cstheme="minorBidi"/>
          <w:b w:val="0"/>
          <w:bCs w:val="0"/>
          <w:sz w:val="21"/>
          <w:szCs w:val="22"/>
        </w:rPr>
      </w:pPr>
      <w:r>
        <w:rPr>
          <w:b w:val="0"/>
          <w:bCs w:val="0"/>
        </w:rPr>
        <w:fldChar w:fldCharType="begin"/>
      </w:r>
      <w:r>
        <w:rPr>
          <w:b w:val="0"/>
          <w:bCs w:val="0"/>
        </w:rPr>
        <w:instrText xml:space="preserve"> HYPERLINK \l "_Toc61117403" </w:instrText>
      </w:r>
      <w:r>
        <w:rPr>
          <w:b w:val="0"/>
          <w:bCs w:val="0"/>
        </w:rPr>
        <w:fldChar w:fldCharType="separate"/>
      </w:r>
      <w:r>
        <w:rPr>
          <w:rStyle w:val="28"/>
          <w:rFonts w:ascii="楷体" w:hAnsi="楷体"/>
          <w:b w:val="0"/>
          <w:bCs w:val="0"/>
        </w:rPr>
        <w:t>第三节 完善规划实施机制</w:t>
      </w:r>
      <w:r>
        <w:rPr>
          <w:b w:val="0"/>
          <w:bCs w:val="0"/>
        </w:rPr>
        <w:tab/>
      </w:r>
      <w:r>
        <w:rPr>
          <w:b w:val="0"/>
          <w:bCs w:val="0"/>
        </w:rPr>
        <w:fldChar w:fldCharType="begin"/>
      </w:r>
      <w:r>
        <w:rPr>
          <w:b w:val="0"/>
          <w:bCs w:val="0"/>
        </w:rPr>
        <w:instrText xml:space="preserve"> PAGEREF _Toc61117403 \h </w:instrText>
      </w:r>
      <w:r>
        <w:rPr>
          <w:b w:val="0"/>
          <w:bCs w:val="0"/>
        </w:rPr>
        <w:fldChar w:fldCharType="separate"/>
      </w:r>
      <w:r>
        <w:rPr>
          <w:b w:val="0"/>
          <w:bCs w:val="0"/>
        </w:rPr>
        <w:t>130</w:t>
      </w:r>
      <w:r>
        <w:rPr>
          <w:b w:val="0"/>
          <w:bCs w:val="0"/>
        </w:rPr>
        <w:fldChar w:fldCharType="end"/>
      </w:r>
      <w:r>
        <w:rPr>
          <w:b w:val="0"/>
          <w:bCs w:val="0"/>
        </w:rPr>
        <w:fldChar w:fldCharType="end"/>
      </w:r>
    </w:p>
    <w:p>
      <w:pPr>
        <w:pStyle w:val="3"/>
        <w:spacing w:line="500" w:lineRule="exact"/>
        <w:rPr>
          <w:rFonts w:ascii="仿宋_GB2312" w:hAnsi="黑体" w:eastAsia="仿宋_GB2312"/>
          <w:color w:val="000000"/>
          <w:szCs w:val="30"/>
        </w:rPr>
        <w:sectPr>
          <w:footerReference r:id="rId7" w:type="default"/>
          <w:pgSz w:w="11906" w:h="16838"/>
          <w:pgMar w:top="1440" w:right="1531" w:bottom="1440" w:left="1531" w:header="851" w:footer="850" w:gutter="0"/>
          <w:pgNumType w:fmt="decimal" w:start="1"/>
          <w:cols w:space="0" w:num="1"/>
          <w:rtlGutter w:val="0"/>
          <w:docGrid w:type="lines" w:linePitch="312" w:charSpace="0"/>
        </w:sectPr>
      </w:pPr>
      <w:r>
        <w:rPr>
          <w:rFonts w:ascii="仿宋_GB2312" w:hAnsi="黑体" w:eastAsia="黑体"/>
          <w:b w:val="0"/>
          <w:bCs w:val="0"/>
          <w:color w:val="000000"/>
          <w:kern w:val="2"/>
          <w:szCs w:val="30"/>
        </w:rPr>
        <w:fldChar w:fldCharType="end"/>
      </w:r>
    </w:p>
    <w:bookmarkEnd w:id="0"/>
    <w:p>
      <w:pPr>
        <w:pStyle w:val="3"/>
        <w:pageBreakBefore w:val="0"/>
        <w:kinsoku/>
        <w:wordWrap/>
        <w:overflowPunct/>
        <w:topLinePunct w:val="0"/>
        <w:autoSpaceDE/>
        <w:autoSpaceDN/>
        <w:bidi w:val="0"/>
        <w:textAlignment w:val="auto"/>
        <w:rPr>
          <w:rFonts w:ascii="黑体" w:hAnsi="黑体" w:eastAsia="黑体"/>
          <w:sz w:val="32"/>
          <w:szCs w:val="48"/>
        </w:rPr>
      </w:pPr>
      <w:bookmarkStart w:id="1" w:name="_Toc11974"/>
      <w:bookmarkStart w:id="2" w:name="_Toc17850"/>
      <w:bookmarkStart w:id="3" w:name="_Toc13125"/>
      <w:bookmarkStart w:id="4" w:name="_Toc9315"/>
      <w:bookmarkStart w:id="5" w:name="_Toc26870"/>
      <w:bookmarkStart w:id="6" w:name="_Toc12883"/>
      <w:bookmarkStart w:id="7" w:name="_Toc56970403"/>
      <w:bookmarkStart w:id="8" w:name="_Toc23417"/>
      <w:bookmarkStart w:id="9" w:name="_Toc8271"/>
      <w:bookmarkStart w:id="10" w:name="_Toc23503"/>
      <w:bookmarkStart w:id="11" w:name="_Toc31802"/>
      <w:bookmarkStart w:id="12" w:name="_Toc58779695"/>
      <w:bookmarkStart w:id="13" w:name="_Toc8641"/>
      <w:bookmarkStart w:id="14" w:name="_Toc61117334"/>
      <w:bookmarkStart w:id="15" w:name="_Toc22104"/>
      <w:r>
        <w:rPr>
          <w:rFonts w:hint="eastAsia" w:ascii="方正小标宋简体" w:hAnsi="方正小标宋简体" w:eastAsia="方正小标宋简体" w:cs="方正小标宋简体"/>
          <w:b w:val="0"/>
          <w:bCs w:val="0"/>
          <w:sz w:val="44"/>
          <w:szCs w:val="44"/>
        </w:rPr>
        <w:t>序</w:t>
      </w:r>
      <w:r>
        <w:rPr>
          <w:rFonts w:hint="eastAsia" w:ascii="方正小标宋简体" w:hAnsi="方正小标宋简体" w:eastAsia="方正小标宋简体" w:cs="方正小标宋简体"/>
          <w:b w:val="0"/>
          <w:bCs w:val="0"/>
          <w:sz w:val="44"/>
          <w:szCs w:val="44"/>
          <w:lang w:val="en-US" w:eastAsia="zh-CN"/>
        </w:rPr>
        <w:t xml:space="preserve">  </w:t>
      </w:r>
      <w:r>
        <w:rPr>
          <w:rFonts w:hint="eastAsia" w:ascii="方正小标宋简体" w:hAnsi="方正小标宋简体" w:eastAsia="方正小标宋简体" w:cs="方正小标宋简体"/>
          <w:b w:val="0"/>
          <w:bCs w:val="0"/>
          <w:sz w:val="44"/>
          <w:szCs w:val="44"/>
        </w:rPr>
        <w:t>言</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rPr>
          <w:rFonts w:hint="eastAsia"/>
        </w:rPr>
      </w:pP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rPr>
          <w:rFonts w:hint="eastAsia"/>
        </w:rPr>
      </w:pPr>
      <w:r>
        <w:rPr>
          <w:rFonts w:hint="eastAsia"/>
        </w:rPr>
        <w:t>“十四五”时期，是我国全面建成小康社会、实现第一个百年奋斗目标之后，乘势而上开启全面建设社会主义现代化国家新征程、向第二个百年奋斗目标进军的第一个五年，是福建省全方位推动高质量发展超越、加快新时代新福建建设的关键五年，也是宁德奋力谱写全面建设社会主义现代化国家的宁德篇章开局起步的重要五年。科学编制和有效实施《宁德市国民经济和社会发展第十四个五年规划和二</w:t>
      </w:r>
      <w:r>
        <w:rPr>
          <w:rFonts w:hint="eastAsia" w:ascii="宋体" w:hAnsi="宋体" w:eastAsia="宋体" w:cs="宋体"/>
        </w:rPr>
        <w:t>〇</w:t>
      </w:r>
      <w:r>
        <w:rPr>
          <w:rFonts w:hint="eastAsia" w:ascii="仿宋_GB2312" w:hAnsi="仿宋_GB2312" w:cs="仿宋_GB2312"/>
        </w:rPr>
        <w:t>三五年远景目标纲要</w:t>
      </w:r>
      <w:r>
        <w:rPr>
          <w:rFonts w:hint="eastAsia"/>
        </w:rPr>
        <w:t>》（以下简称《纲要》），对将宁德打造成为全省全方位推动高质量发展超越的新增长极，具有十分重要的战略意义。</w:t>
      </w:r>
    </w:p>
    <w:p>
      <w:pPr>
        <w:keepNext w:val="0"/>
        <w:keepLines w:val="0"/>
        <w:pageBreakBefore w:val="0"/>
        <w:widowControl w:val="0"/>
        <w:kinsoku/>
        <w:wordWrap/>
        <w:overflowPunct/>
        <w:topLinePunct w:val="0"/>
        <w:autoSpaceDE/>
        <w:autoSpaceDN/>
        <w:bidi w:val="0"/>
        <w:adjustRightInd/>
        <w:snapToGrid/>
        <w:spacing w:line="600" w:lineRule="exact"/>
        <w:ind w:firstLine="600"/>
        <w:textAlignment w:val="auto"/>
        <w:rPr>
          <w:rFonts w:hint="eastAsia"/>
        </w:rPr>
        <w:sectPr>
          <w:footerReference r:id="rId8" w:type="default"/>
          <w:pgSz w:w="11906" w:h="16838"/>
          <w:pgMar w:top="1701" w:right="1531" w:bottom="1587" w:left="1531" w:header="851" w:footer="850" w:gutter="0"/>
          <w:pgNumType w:fmt="numberInDash" w:start="1"/>
          <w:cols w:space="0" w:num="1"/>
          <w:rtlGutter w:val="0"/>
          <w:docGrid w:type="lines" w:linePitch="410" w:charSpace="0"/>
        </w:sectPr>
      </w:pPr>
      <w:r>
        <w:rPr>
          <w:rFonts w:hint="eastAsia"/>
        </w:rPr>
        <w:t>本《纲要》根据《中共宁德市委关于制定宁德市国民经济和社会发展第十四个五年规划和二</w:t>
      </w:r>
      <w:r>
        <w:rPr>
          <w:rFonts w:hint="eastAsia" w:ascii="宋体" w:hAnsi="宋体" w:eastAsia="宋体" w:cs="宋体"/>
        </w:rPr>
        <w:t>〇</w:t>
      </w:r>
      <w:r>
        <w:rPr>
          <w:rFonts w:hint="eastAsia" w:ascii="仿宋_GB2312" w:hAnsi="仿宋_GB2312" w:cs="仿宋_GB2312"/>
        </w:rPr>
        <w:t>三五年远景目标</w:t>
      </w:r>
      <w:r>
        <w:rPr>
          <w:rFonts w:hint="eastAsia"/>
        </w:rPr>
        <w:t>的建议》制定，重点阐明全市“十四五”时期的指导思想、基本原则、战略定位、发展目标和主要任务，是今后五年全市经济社会发展的宏伟蓝图，是全市人民共同奋斗的行动纲领。</w:t>
      </w:r>
      <w:bookmarkStart w:id="16" w:name="_Toc426"/>
      <w:bookmarkStart w:id="17" w:name="_Toc55935771"/>
      <w:bookmarkStart w:id="18" w:name="_Toc56970404"/>
      <w:bookmarkStart w:id="19" w:name="_Toc17178"/>
      <w:bookmarkStart w:id="20" w:name="_Toc8451"/>
      <w:bookmarkStart w:id="21" w:name="_Toc31471"/>
      <w:bookmarkStart w:id="22" w:name="_Toc23636"/>
      <w:bookmarkStart w:id="23" w:name="_Toc11245"/>
      <w:bookmarkStart w:id="24" w:name="_Toc58779696"/>
      <w:bookmarkStart w:id="25" w:name="_Toc6371"/>
      <w:bookmarkStart w:id="26" w:name="_Toc15421"/>
      <w:bookmarkStart w:id="27" w:name="_Toc21284"/>
      <w:bookmarkStart w:id="28" w:name="_Toc5028"/>
      <w:bookmarkStart w:id="29" w:name="_Toc10231"/>
      <w:bookmarkStart w:id="30" w:name="_Toc10906"/>
      <w:bookmarkStart w:id="31" w:name="_Toc61117335"/>
    </w:p>
    <w:p>
      <w:pPr>
        <w:rPr>
          <w:rFonts w:hint="eastAsia"/>
        </w:rPr>
      </w:pPr>
    </w:p>
    <w:p>
      <w:pPr>
        <w:pStyle w:val="3"/>
        <w:pageBreakBefore w:val="0"/>
        <w:widowControl w:val="0"/>
        <w:kinsoku/>
        <w:wordWrap/>
        <w:overflowPunct/>
        <w:topLinePunct w:val="0"/>
        <w:autoSpaceDE/>
        <w:autoSpaceDN/>
        <w:bidi w:val="0"/>
        <w:snapToGrid/>
        <w:spacing w:line="600" w:lineRule="exact"/>
        <w:textAlignment w:val="auto"/>
        <w:rPr>
          <w:rFonts w:hint="eastAsia" w:ascii="方正黑体简体" w:hAnsi="方正黑体简体" w:eastAsia="方正黑体简体" w:cs="方正黑体简体"/>
          <w:b w:val="0"/>
          <w:bCs w:val="0"/>
          <w:sz w:val="32"/>
          <w:szCs w:val="48"/>
          <w:lang w:eastAsia="zh-CN"/>
        </w:rPr>
      </w:pPr>
      <w:r>
        <w:rPr>
          <w:rFonts w:hint="eastAsia" w:ascii="方正黑体简体" w:hAnsi="方正黑体简体" w:eastAsia="方正黑体简体" w:cs="方正黑体简体"/>
          <w:b w:val="0"/>
          <w:bCs w:val="0"/>
          <w:sz w:val="32"/>
          <w:szCs w:val="48"/>
        </w:rPr>
        <w:t xml:space="preserve">第一章 </w:t>
      </w:r>
      <w:r>
        <w:rPr>
          <w:rFonts w:hint="eastAsia" w:ascii="方正黑体简体" w:hAnsi="方正黑体简体" w:eastAsia="方正黑体简体" w:cs="方正黑体简体"/>
          <w:b w:val="0"/>
          <w:bCs w:val="0"/>
          <w:sz w:val="32"/>
          <w:szCs w:val="48"/>
          <w:lang w:val="en-US" w:eastAsia="zh-CN"/>
        </w:rPr>
        <w:t xml:space="preserve"> </w:t>
      </w:r>
      <w:r>
        <w:rPr>
          <w:rFonts w:hint="eastAsia" w:ascii="方正黑体简体" w:hAnsi="方正黑体简体" w:eastAsia="方正黑体简体" w:cs="方正黑体简体"/>
          <w:b w:val="0"/>
          <w:bCs w:val="0"/>
          <w:sz w:val="32"/>
          <w:szCs w:val="48"/>
        </w:rPr>
        <w:t>开启</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r>
        <w:rPr>
          <w:rFonts w:hint="eastAsia" w:ascii="方正黑体简体" w:hAnsi="方正黑体简体" w:eastAsia="方正黑体简体" w:cs="方正黑体简体"/>
          <w:b w:val="0"/>
          <w:bCs w:val="0"/>
          <w:sz w:val="32"/>
          <w:szCs w:val="48"/>
          <w:lang w:eastAsia="zh-CN"/>
        </w:rPr>
        <w:t>全面建设社会主义现代化国家新征程</w:t>
      </w:r>
    </w:p>
    <w:p>
      <w:pPr>
        <w:pageBreakBefore w:val="0"/>
        <w:widowControl w:val="0"/>
        <w:kinsoku/>
        <w:wordWrap/>
        <w:overflowPunct/>
        <w:topLinePunct w:val="0"/>
        <w:autoSpaceDE/>
        <w:autoSpaceDN/>
        <w:bidi w:val="0"/>
        <w:snapToGrid/>
        <w:spacing w:line="600" w:lineRule="exact"/>
        <w:ind w:firstLine="600"/>
        <w:textAlignment w:val="auto"/>
        <w:rPr>
          <w:rFonts w:hint="eastAsia"/>
        </w:rPr>
      </w:pPr>
    </w:p>
    <w:p>
      <w:pPr>
        <w:pageBreakBefore w:val="0"/>
        <w:widowControl w:val="0"/>
        <w:kinsoku/>
        <w:wordWrap/>
        <w:overflowPunct/>
        <w:topLinePunct w:val="0"/>
        <w:autoSpaceDE/>
        <w:autoSpaceDN/>
        <w:bidi w:val="0"/>
        <w:snapToGrid/>
        <w:spacing w:line="600" w:lineRule="exact"/>
        <w:ind w:firstLine="600"/>
        <w:textAlignment w:val="auto"/>
        <w:rPr>
          <w:rFonts w:hint="eastAsia"/>
        </w:rPr>
      </w:pPr>
      <w:r>
        <w:rPr>
          <w:rFonts w:hint="eastAsia"/>
        </w:rPr>
        <w:t>“十四五”时期，是宁德经济发展加快实现跃升的关键时期。我市在总结“十三五”时期发展基础上，应准确把握国内外环境带来的新变化新特点，坚持新发展理念，全方位推动高质量发展超越，为开启奋力谱写全面建设社会主义现代化国家的宁德篇章新征程奠定坚实基础。</w:t>
      </w:r>
    </w:p>
    <w:p>
      <w:pPr>
        <w:pageBreakBefore w:val="0"/>
        <w:widowControl w:val="0"/>
        <w:kinsoku/>
        <w:wordWrap/>
        <w:overflowPunct/>
        <w:topLinePunct w:val="0"/>
        <w:autoSpaceDE/>
        <w:autoSpaceDN/>
        <w:bidi w:val="0"/>
        <w:snapToGrid/>
        <w:spacing w:line="600" w:lineRule="exact"/>
        <w:ind w:firstLine="600"/>
        <w:textAlignment w:val="auto"/>
        <w:rPr>
          <w:rFonts w:hint="eastAsia"/>
        </w:rPr>
      </w:pPr>
    </w:p>
    <w:p>
      <w:pPr>
        <w:pStyle w:val="4"/>
        <w:pageBreakBefore w:val="0"/>
        <w:widowControl w:val="0"/>
        <w:kinsoku/>
        <w:wordWrap/>
        <w:overflowPunct/>
        <w:topLinePunct w:val="0"/>
        <w:autoSpaceDE/>
        <w:autoSpaceDN/>
        <w:bidi w:val="0"/>
        <w:snapToGrid/>
        <w:spacing w:beforeLines="0" w:afterLines="0" w:line="600" w:lineRule="exact"/>
        <w:ind w:firstLine="0" w:firstLineChars="0"/>
        <w:textAlignment w:val="auto"/>
        <w:rPr>
          <w:rFonts w:ascii="楷体" w:hAnsi="楷体" w:eastAsia="楷体"/>
          <w:sz w:val="32"/>
          <w:szCs w:val="36"/>
        </w:rPr>
      </w:pPr>
      <w:bookmarkStart w:id="32" w:name="_Toc56970405"/>
      <w:bookmarkStart w:id="33" w:name="_Toc19146"/>
      <w:bookmarkStart w:id="34" w:name="_Toc29880"/>
      <w:bookmarkStart w:id="35" w:name="_Toc61117336"/>
      <w:bookmarkStart w:id="36" w:name="_Toc27183"/>
      <w:bookmarkStart w:id="37" w:name="_Toc8050"/>
      <w:bookmarkStart w:id="38" w:name="_Toc22134"/>
      <w:bookmarkStart w:id="39" w:name="_Toc10628"/>
      <w:bookmarkStart w:id="40" w:name="_Toc17831"/>
      <w:bookmarkStart w:id="41" w:name="_Toc58194539"/>
      <w:bookmarkStart w:id="42" w:name="_Toc30275"/>
      <w:bookmarkStart w:id="43" w:name="_Toc19142"/>
      <w:bookmarkStart w:id="44" w:name="_Toc58779697"/>
      <w:bookmarkStart w:id="45" w:name="_Toc6597"/>
      <w:bookmarkStart w:id="46" w:name="_Toc20566"/>
      <w:bookmarkStart w:id="47" w:name="_Toc25695"/>
      <w:r>
        <w:rPr>
          <w:rFonts w:hint="eastAsia" w:ascii="楷体" w:hAnsi="楷体" w:eastAsia="楷体"/>
          <w:sz w:val="32"/>
          <w:szCs w:val="36"/>
        </w:rPr>
        <w:t>第一节</w:t>
      </w:r>
      <w:r>
        <w:rPr>
          <w:rFonts w:hint="eastAsia" w:ascii="楷体" w:hAnsi="楷体" w:eastAsia="楷体"/>
          <w:sz w:val="32"/>
          <w:szCs w:val="36"/>
          <w:lang w:val="en-US" w:eastAsia="zh-CN"/>
        </w:rPr>
        <w:t xml:space="preserve"> </w:t>
      </w:r>
      <w:r>
        <w:rPr>
          <w:rFonts w:ascii="楷体" w:hAnsi="楷体" w:eastAsia="楷体"/>
          <w:sz w:val="32"/>
          <w:szCs w:val="36"/>
        </w:rPr>
        <w:t xml:space="preserve"> </w:t>
      </w:r>
      <w:bookmarkEnd w:id="32"/>
      <w:r>
        <w:rPr>
          <w:rFonts w:hint="eastAsia" w:ascii="楷体" w:hAnsi="楷体" w:eastAsia="楷体"/>
          <w:sz w:val="32"/>
          <w:szCs w:val="36"/>
        </w:rPr>
        <w:t>决胜全面建成小康社会取得决定性成就</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pPr>
        <w:pageBreakBefore w:val="0"/>
        <w:widowControl w:val="0"/>
        <w:kinsoku/>
        <w:wordWrap/>
        <w:overflowPunct/>
        <w:topLinePunct w:val="0"/>
        <w:autoSpaceDE/>
        <w:autoSpaceDN/>
        <w:bidi w:val="0"/>
        <w:snapToGrid/>
        <w:spacing w:line="600" w:lineRule="exact"/>
        <w:ind w:firstLine="600"/>
        <w:textAlignment w:val="auto"/>
        <w:rPr>
          <w:rFonts w:hint="eastAsia"/>
        </w:rPr>
      </w:pPr>
    </w:p>
    <w:p>
      <w:pPr>
        <w:pageBreakBefore w:val="0"/>
        <w:widowControl w:val="0"/>
        <w:kinsoku/>
        <w:wordWrap/>
        <w:overflowPunct/>
        <w:topLinePunct w:val="0"/>
        <w:autoSpaceDE/>
        <w:autoSpaceDN/>
        <w:bidi w:val="0"/>
        <w:snapToGrid/>
        <w:spacing w:line="600" w:lineRule="exact"/>
        <w:ind w:firstLine="600"/>
        <w:textAlignment w:val="auto"/>
      </w:pPr>
      <w:r>
        <w:rPr>
          <w:rFonts w:hint="eastAsia"/>
        </w:rPr>
        <w:t>“十三五”时期，我市深入实施“一二三”发展战略，推动产业转型升级，经济社会实现高质量跨越式发展，比较优势得到有效发挥，决胜全面建成小康社会取得决定性成就，较好完成“十三五”规划确定的目标任务。</w:t>
      </w:r>
    </w:p>
    <w:p>
      <w:pPr>
        <w:pageBreakBefore w:val="0"/>
        <w:widowControl w:val="0"/>
        <w:kinsoku/>
        <w:wordWrap/>
        <w:overflowPunct/>
        <w:topLinePunct w:val="0"/>
        <w:autoSpaceDE/>
        <w:autoSpaceDN/>
        <w:bidi w:val="0"/>
        <w:snapToGrid/>
        <w:spacing w:line="600" w:lineRule="exact"/>
        <w:ind w:firstLine="602"/>
        <w:textAlignment w:val="auto"/>
        <w:rPr>
          <w:rFonts w:hint="eastAsia" w:ascii="仿宋_GB2312"/>
        </w:rPr>
      </w:pPr>
      <w:r>
        <w:rPr>
          <w:b/>
          <w:bCs/>
        </w:rPr>
        <w:t>——</w:t>
      </w:r>
      <w:r>
        <w:rPr>
          <w:rFonts w:hint="eastAsia"/>
          <w:b/>
          <w:bCs/>
        </w:rPr>
        <w:t>经济综合实力持续提升。</w:t>
      </w:r>
      <w:r>
        <w:rPr>
          <w:rFonts w:hint="eastAsia" w:ascii="仿宋_GB2312"/>
        </w:rPr>
        <w:t>全市经济总量突破2500亿元，财政总收入突破200亿元，提前一年实现赶超发展目标。预计2020年，全市地区生产总值达到</w:t>
      </w:r>
      <w:r>
        <w:rPr>
          <w:rFonts w:hint="eastAsia" w:ascii="仿宋_GB2312"/>
          <w:lang w:val="en-US" w:eastAsia="zh-CN"/>
        </w:rPr>
        <w:t>2619</w:t>
      </w:r>
      <w:r>
        <w:rPr>
          <w:rFonts w:hint="eastAsia" w:ascii="仿宋_GB2312"/>
        </w:rPr>
        <w:t>亿元，比2015年增加1000多亿元；人均地区生产总值超过9万元；一般公共预算总收入、地方一般公共预算收入分别达233.5</w:t>
      </w:r>
      <w:r>
        <w:rPr>
          <w:rFonts w:hint="eastAsia" w:ascii="仿宋_GB2312"/>
          <w:lang w:val="en-US" w:eastAsia="zh-CN"/>
        </w:rPr>
        <w:t>5</w:t>
      </w:r>
      <w:r>
        <w:rPr>
          <w:rFonts w:hint="eastAsia" w:ascii="仿宋_GB2312"/>
        </w:rPr>
        <w:t>亿元、137.</w:t>
      </w:r>
      <w:r>
        <w:rPr>
          <w:rFonts w:hint="eastAsia" w:ascii="仿宋_GB2312"/>
          <w:lang w:val="en-US" w:eastAsia="zh-CN"/>
        </w:rPr>
        <w:t>79</w:t>
      </w:r>
      <w:r>
        <w:rPr>
          <w:rFonts w:hint="eastAsia" w:ascii="仿宋_GB2312"/>
        </w:rPr>
        <w:t>亿元，总收入增速全省“四连冠”，总量跃升至全省第6位。</w:t>
      </w:r>
    </w:p>
    <w:p>
      <w:pPr>
        <w:pageBreakBefore w:val="0"/>
        <w:widowControl w:val="0"/>
        <w:kinsoku/>
        <w:wordWrap/>
        <w:overflowPunct/>
        <w:topLinePunct w:val="0"/>
        <w:autoSpaceDE/>
        <w:autoSpaceDN/>
        <w:bidi w:val="0"/>
        <w:snapToGrid/>
        <w:spacing w:line="600" w:lineRule="exact"/>
        <w:ind w:firstLine="602"/>
        <w:textAlignment w:val="auto"/>
      </w:pPr>
      <w:r>
        <w:rPr>
          <w:b/>
          <w:bCs/>
        </w:rPr>
        <w:t>——</w:t>
      </w:r>
      <w:r>
        <w:rPr>
          <w:rFonts w:hint="eastAsia"/>
          <w:b/>
          <w:bCs/>
        </w:rPr>
        <w:t>高质量打赢脱贫攻坚战。</w:t>
      </w:r>
      <w:r>
        <w:rPr>
          <w:rFonts w:hint="eastAsia"/>
        </w:rPr>
        <w:t>贯彻落实习近平总书记给下党乡乡亲们的回信重要精神，探索形成扶贫开发“宁德模式”，实现全市</w:t>
      </w:r>
      <w:r>
        <w:rPr>
          <w:rFonts w:hint="eastAsia" w:ascii="仿宋_GB2312"/>
        </w:rPr>
        <w:t>7.2</w:t>
      </w:r>
      <w:r>
        <w:rPr>
          <w:rFonts w:hint="eastAsia"/>
        </w:rPr>
        <w:t>万建档立卡贫困户、</w:t>
      </w:r>
      <w:r>
        <w:rPr>
          <w:rFonts w:hint="eastAsia" w:ascii="仿宋_GB2312"/>
        </w:rPr>
        <w:t>453个贫困村和6个</w:t>
      </w:r>
      <w:r>
        <w:rPr>
          <w:rFonts w:hint="eastAsia"/>
        </w:rPr>
        <w:t>省级扶贫开发工作重点县全部摘帽退出，“两不愁三保障”全面实现，“宁德扶贫故事”走向世界舞台。闽东特色乡村振兴之路迈出坚实步伐，“</w:t>
      </w:r>
      <w:r>
        <w:rPr>
          <w:rFonts w:hint="eastAsia" w:ascii="仿宋_GB2312"/>
        </w:rPr>
        <w:t>8+1</w:t>
      </w:r>
      <w:r>
        <w:rPr>
          <w:rFonts w:hint="eastAsia"/>
        </w:rPr>
        <w:t>”特色产业体系基本形成。</w:t>
      </w:r>
    </w:p>
    <w:p>
      <w:pPr>
        <w:pageBreakBefore w:val="0"/>
        <w:widowControl w:val="0"/>
        <w:kinsoku/>
        <w:wordWrap/>
        <w:overflowPunct/>
        <w:topLinePunct w:val="0"/>
        <w:autoSpaceDE/>
        <w:autoSpaceDN/>
        <w:bidi w:val="0"/>
        <w:snapToGrid/>
        <w:spacing w:line="600" w:lineRule="exact"/>
        <w:ind w:firstLine="602"/>
        <w:textAlignment w:val="auto"/>
      </w:pPr>
      <w:r>
        <w:rPr>
          <w:b/>
          <w:bCs/>
        </w:rPr>
        <w:t>——</w:t>
      </w:r>
      <w:r>
        <w:rPr>
          <w:rFonts w:hint="eastAsia"/>
          <w:b/>
          <w:bCs/>
        </w:rPr>
        <w:t>产业发展迈向高端化。</w:t>
      </w:r>
      <w:r>
        <w:rPr>
          <w:rFonts w:hint="eastAsia"/>
        </w:rPr>
        <w:t>工业总产值突破</w:t>
      </w:r>
      <w:r>
        <w:rPr>
          <w:rFonts w:hint="eastAsia" w:ascii="仿宋_GB2312"/>
        </w:rPr>
        <w:t>4000</w:t>
      </w:r>
      <w:r>
        <w:rPr>
          <w:rFonts w:hint="eastAsia"/>
        </w:rPr>
        <w:t>亿元，培育形成锂电新能源、新能源汽车、不锈钢新材料、铜材料四个具有国际竞争力的产业集群，打造了全球最大的锂电池生产基地和不锈钢生产基地，不锈钢新材料建成闽东首个千亿级产业集群，构筑起全方位推动高质量发展超越的“四梁八柱”；特色农业“五化”发展经验在全省推广；总部经济、电子商务等服务业新业态新模式不断涌现，一二三产融合步伐加快；三次产业比重从</w:t>
      </w:r>
      <w:r>
        <w:rPr>
          <w:rFonts w:hint="eastAsia" w:ascii="仿宋_GB2312"/>
        </w:rPr>
        <w:t>15</w:t>
      </w:r>
      <w:r>
        <w:rPr>
          <w:rFonts w:ascii="仿宋_GB2312"/>
        </w:rPr>
        <w:t>.</w:t>
      </w:r>
      <w:r>
        <w:rPr>
          <w:rFonts w:hint="eastAsia" w:ascii="仿宋_GB2312"/>
        </w:rPr>
        <w:t>2</w:t>
      </w:r>
      <w:r>
        <w:rPr>
          <w:rFonts w:hint="eastAsia" w:ascii="仿宋_GB2312" w:hAnsi="宋体" w:cs="宋体"/>
        </w:rPr>
        <w:t>:</w:t>
      </w:r>
      <w:r>
        <w:rPr>
          <w:rFonts w:hint="eastAsia" w:ascii="仿宋_GB2312"/>
        </w:rPr>
        <w:t>53</w:t>
      </w:r>
      <w:r>
        <w:rPr>
          <w:rFonts w:ascii="仿宋_GB2312" w:hAnsi="宋体" w:cs="宋体"/>
        </w:rPr>
        <w:t>:</w:t>
      </w:r>
      <w:r>
        <w:rPr>
          <w:rFonts w:hint="eastAsia" w:ascii="仿宋_GB2312"/>
        </w:rPr>
        <w:t>31</w:t>
      </w:r>
      <w:r>
        <w:rPr>
          <w:rFonts w:ascii="仿宋_GB2312"/>
        </w:rPr>
        <w:t>.</w:t>
      </w:r>
      <w:r>
        <w:rPr>
          <w:rFonts w:hint="eastAsia" w:ascii="仿宋_GB2312"/>
        </w:rPr>
        <w:t>8优化为</w:t>
      </w:r>
      <w:r>
        <w:rPr>
          <w:rFonts w:hint="eastAsia" w:ascii="仿宋_GB2312"/>
          <w:lang w:val="en-US" w:eastAsia="zh-CN"/>
        </w:rPr>
        <w:t>12.4</w:t>
      </w:r>
      <w:r>
        <w:rPr>
          <w:rFonts w:hint="eastAsia" w:ascii="仿宋_GB2312" w:hAnsi="宋体" w:cs="宋体"/>
        </w:rPr>
        <w:t>:</w:t>
      </w:r>
      <w:r>
        <w:rPr>
          <w:rFonts w:hint="eastAsia" w:ascii="仿宋_GB2312"/>
        </w:rPr>
        <w:t>5</w:t>
      </w:r>
      <w:r>
        <w:rPr>
          <w:rFonts w:hint="eastAsia" w:ascii="仿宋_GB2312"/>
          <w:lang w:val="en-US" w:eastAsia="zh-CN"/>
        </w:rPr>
        <w:t>0.4</w:t>
      </w:r>
      <w:r>
        <w:rPr>
          <w:rFonts w:hint="eastAsia" w:ascii="仿宋_GB2312" w:hAnsi="宋体" w:cs="宋体"/>
        </w:rPr>
        <w:t>:</w:t>
      </w:r>
      <w:r>
        <w:rPr>
          <w:rFonts w:hint="eastAsia" w:ascii="仿宋_GB2312"/>
        </w:rPr>
        <w:t>3</w:t>
      </w:r>
      <w:r>
        <w:rPr>
          <w:rFonts w:hint="eastAsia" w:ascii="仿宋_GB2312"/>
          <w:lang w:val="en-US" w:eastAsia="zh-CN"/>
        </w:rPr>
        <w:t>7.2</w:t>
      </w:r>
      <w:r>
        <w:rPr>
          <w:rFonts w:hint="eastAsia" w:ascii="仿宋_GB2312"/>
        </w:rPr>
        <w:t>。</w:t>
      </w:r>
    </w:p>
    <w:p>
      <w:pPr>
        <w:pageBreakBefore w:val="0"/>
        <w:widowControl w:val="0"/>
        <w:kinsoku/>
        <w:wordWrap/>
        <w:overflowPunct/>
        <w:topLinePunct w:val="0"/>
        <w:autoSpaceDE/>
        <w:autoSpaceDN/>
        <w:bidi w:val="0"/>
        <w:snapToGrid/>
        <w:spacing w:line="600" w:lineRule="exact"/>
        <w:ind w:firstLine="602"/>
        <w:textAlignment w:val="auto"/>
        <w:rPr>
          <w:rFonts w:hint="eastAsia" w:ascii="仿宋_GB2312"/>
        </w:rPr>
      </w:pPr>
      <w:r>
        <w:rPr>
          <w:b/>
          <w:bCs/>
        </w:rPr>
        <w:t>——</w:t>
      </w:r>
      <w:r>
        <w:rPr>
          <w:rFonts w:hint="eastAsia"/>
          <w:b/>
          <w:bCs/>
        </w:rPr>
        <w:t>基础设施更加完善。</w:t>
      </w:r>
      <w:r>
        <w:rPr>
          <w:rFonts w:hint="eastAsia" w:ascii="仿宋_GB2312"/>
        </w:rPr>
        <w:t>衢宁铁路、宁德汽车基地项目铁路专用线及沈海复线蕉城漳湾至飞鸾互通段等5条（段）高速公路建成通车，新增铁路营运里程119公里、高速公路里程16</w:t>
      </w:r>
      <w:r>
        <w:rPr>
          <w:rFonts w:hint="eastAsia" w:ascii="仿宋_GB2312"/>
          <w:lang w:val="en-US" w:eastAsia="zh-CN"/>
        </w:rPr>
        <w:t>7</w:t>
      </w:r>
      <w:r>
        <w:rPr>
          <w:rFonts w:hint="eastAsia" w:ascii="仿宋_GB2312"/>
        </w:rPr>
        <w:t>公里，“T字型”铁路网、“三纵四横”高速公路网逐步完善。新增万吨级泊位5个，港口货物吞吐量近5000万吨。新增电力装机容量139万千瓦，110千伏及以上线路932公里。污水处理率达95%，垃圾处理率达95%。全市固定宽带家庭普及率130%。</w:t>
      </w:r>
    </w:p>
    <w:p>
      <w:pPr>
        <w:pageBreakBefore w:val="0"/>
        <w:widowControl w:val="0"/>
        <w:kinsoku/>
        <w:wordWrap/>
        <w:overflowPunct/>
        <w:topLinePunct w:val="0"/>
        <w:autoSpaceDE/>
        <w:autoSpaceDN/>
        <w:bidi w:val="0"/>
        <w:snapToGrid/>
        <w:spacing w:line="600" w:lineRule="exact"/>
        <w:ind w:firstLine="602"/>
        <w:textAlignment w:val="auto"/>
      </w:pPr>
      <w:r>
        <w:rPr>
          <w:b/>
          <w:bCs/>
        </w:rPr>
        <w:t>——</w:t>
      </w:r>
      <w:r>
        <w:rPr>
          <w:rFonts w:hint="eastAsia"/>
          <w:b/>
          <w:bCs/>
        </w:rPr>
        <w:t>城乡融合加快推进。</w:t>
      </w:r>
      <w:r>
        <w:rPr>
          <w:rFonts w:hint="eastAsia" w:ascii="仿宋_GB2312"/>
        </w:rPr>
        <w:t>宁德中心城市从“临海”向“环海”加速迈进，北部新城初具规模，三都澳新区、白马片区开发建设全面提速，中心城区建成面积达60平方公里，常住人口达60万人，成功晋列全国文明城市。福安、霞浦入选全国县城新型城镇化示范县。锂电新能源小镇入选首批全国特色小镇典型。全市常住人口城镇化率达59%左右。实现乡镇快递网店覆盖率和建制村通硬化路率、通客车率、通邮率四个100%。</w:t>
      </w:r>
    </w:p>
    <w:p>
      <w:pPr>
        <w:pageBreakBefore w:val="0"/>
        <w:widowControl w:val="0"/>
        <w:kinsoku/>
        <w:wordWrap/>
        <w:overflowPunct/>
        <w:topLinePunct w:val="0"/>
        <w:autoSpaceDE/>
        <w:autoSpaceDN/>
        <w:bidi w:val="0"/>
        <w:snapToGrid/>
        <w:spacing w:line="600" w:lineRule="exact"/>
        <w:ind w:firstLine="602"/>
        <w:textAlignment w:val="auto"/>
        <w:rPr>
          <w:rFonts w:hint="eastAsia" w:ascii="仿宋_GB2312"/>
        </w:rPr>
      </w:pPr>
      <w:r>
        <w:rPr>
          <w:b/>
          <w:bCs/>
        </w:rPr>
        <w:t>——</w:t>
      </w:r>
      <w:r>
        <w:rPr>
          <w:rFonts w:hint="eastAsia"/>
          <w:b/>
          <w:bCs/>
        </w:rPr>
        <w:t>改革开放深入推进。</w:t>
      </w:r>
      <w:r>
        <w:rPr>
          <w:rFonts w:hint="eastAsia"/>
        </w:rPr>
        <w:t>“</w:t>
      </w:r>
      <w:r>
        <w:rPr>
          <w:rFonts w:hint="eastAsia" w:ascii="仿宋_GB2312"/>
        </w:rPr>
        <w:t>放管服”改革持续深化，全市共取消下放审批事项295项，“一趟不用跑”事项占比达72.</w:t>
      </w:r>
      <w:r>
        <w:rPr>
          <w:rFonts w:hint="eastAsia" w:ascii="仿宋_GB2312"/>
          <w:lang w:val="en-US" w:eastAsia="zh-CN"/>
        </w:rPr>
        <w:t>8</w:t>
      </w:r>
      <w:r>
        <w:rPr>
          <w:rFonts w:hint="eastAsia" w:ascii="仿宋_GB2312"/>
        </w:rPr>
        <w:t>%，网上可办率达</w:t>
      </w:r>
      <w:r>
        <w:rPr>
          <w:rFonts w:hint="eastAsia" w:ascii="仿宋_GB2312"/>
          <w:lang w:val="en-US" w:eastAsia="zh-CN"/>
        </w:rPr>
        <w:t>98</w:t>
      </w:r>
      <w:r>
        <w:rPr>
          <w:rFonts w:hint="eastAsia" w:ascii="仿宋_GB2312"/>
        </w:rPr>
        <w:t>%，“马上办、网上办、一次办”成为常态，“营商环境指数”持续提升。国企改革、商事制度、农村产权、医改、电改等专项改革取得积极进展。进出口总额接近翻番，三沙港区对外开放通过国家级验收，漳湾作业区获准临时开放，白马港区12#、13#泊位获批对外开放。</w:t>
      </w:r>
    </w:p>
    <w:p>
      <w:pPr>
        <w:pageBreakBefore w:val="0"/>
        <w:widowControl w:val="0"/>
        <w:kinsoku/>
        <w:wordWrap/>
        <w:overflowPunct/>
        <w:topLinePunct w:val="0"/>
        <w:autoSpaceDE/>
        <w:autoSpaceDN/>
        <w:bidi w:val="0"/>
        <w:snapToGrid/>
        <w:spacing w:line="600" w:lineRule="exact"/>
        <w:ind w:firstLine="602"/>
        <w:textAlignment w:val="auto"/>
        <w:rPr>
          <w:rFonts w:hint="eastAsia" w:ascii="仿宋_GB2312"/>
        </w:rPr>
      </w:pPr>
      <w:r>
        <w:rPr>
          <w:b/>
          <w:bCs/>
        </w:rPr>
        <w:t>——</w:t>
      </w:r>
      <w:r>
        <w:rPr>
          <w:rFonts w:hint="eastAsia"/>
          <w:b/>
          <w:bCs/>
        </w:rPr>
        <w:t>生态优势巩固提升。</w:t>
      </w:r>
      <w:r>
        <w:rPr>
          <w:rFonts w:hint="eastAsia" w:ascii="仿宋_GB2312"/>
        </w:rPr>
        <w:t>清海工作“宁德模式”成为全国生态环保督察整改典型经验、生态审计典型案例，中心城区环境空气质量优良天数比例达99.2%，重点流域优良水质比例100%，</w:t>
      </w:r>
      <w:r>
        <w:rPr>
          <w:rFonts w:hint="eastAsia" w:ascii="仿宋_GB2312"/>
          <w:color w:val="000000"/>
        </w:rPr>
        <w:t>森林覆盖率达到</w:t>
      </w:r>
      <w:r>
        <w:rPr>
          <w:rFonts w:hint="eastAsia" w:ascii="仿宋_GB2312"/>
        </w:rPr>
        <w:t>69.98%，</w:t>
      </w:r>
      <w:r>
        <w:rPr>
          <w:rFonts w:hint="eastAsia" w:ascii="仿宋_GB2312"/>
          <w:color w:val="000000"/>
        </w:rPr>
        <w:t>绿化覆盖率达42.5%，中心城区水系综合治理取得阶段性成效，</w:t>
      </w:r>
      <w:r>
        <w:rPr>
          <w:rFonts w:hint="eastAsia" w:ascii="仿宋_GB2312"/>
        </w:rPr>
        <w:t>中心城区黑臭水体基本消除，农村人居环境整治成效显著，获评国家园林城市、森林城市。</w:t>
      </w:r>
    </w:p>
    <w:p>
      <w:pPr>
        <w:pageBreakBefore w:val="0"/>
        <w:widowControl w:val="0"/>
        <w:kinsoku/>
        <w:wordWrap/>
        <w:overflowPunct/>
        <w:topLinePunct w:val="0"/>
        <w:autoSpaceDE/>
        <w:autoSpaceDN/>
        <w:bidi w:val="0"/>
        <w:snapToGrid/>
        <w:spacing w:line="600" w:lineRule="exact"/>
        <w:ind w:firstLine="602"/>
        <w:textAlignment w:val="auto"/>
        <w:rPr>
          <w:rFonts w:hint="eastAsia" w:ascii="仿宋_GB2312"/>
          <w:b/>
          <w:bCs/>
          <w:sz w:val="28"/>
        </w:rPr>
      </w:pPr>
      <w:r>
        <w:rPr>
          <w:b/>
          <w:bCs/>
        </w:rPr>
        <w:t>——</w:t>
      </w:r>
      <w:r>
        <w:rPr>
          <w:rFonts w:hint="eastAsia"/>
          <w:b/>
          <w:bCs/>
        </w:rPr>
        <w:t>民生社会事业全面发展。</w:t>
      </w:r>
      <w:r>
        <w:rPr>
          <w:rFonts w:hint="eastAsia" w:ascii="仿宋_GB2312"/>
        </w:rPr>
        <w:t>城乡居民人均可支配收入与经济增长同步。累计投入民生领域补短板1224.9亿元，新增学位6.1万个、医疗床位2985张、养老床位7029张，新建保障性住房1.28</w:t>
      </w:r>
      <w:r>
        <w:rPr>
          <w:rFonts w:hint="eastAsia" w:ascii="仿宋_GB2312"/>
          <w:lang w:eastAsia="zh-CN"/>
        </w:rPr>
        <w:t>万</w:t>
      </w:r>
      <w:r>
        <w:rPr>
          <w:rFonts w:hint="eastAsia" w:ascii="仿宋_GB2312"/>
        </w:rPr>
        <w:t>套，改造棚户区3.02</w:t>
      </w:r>
      <w:r>
        <w:rPr>
          <w:rFonts w:hint="eastAsia" w:ascii="仿宋_GB2312"/>
          <w:lang w:eastAsia="zh-CN"/>
        </w:rPr>
        <w:t>万</w:t>
      </w:r>
      <w:r>
        <w:rPr>
          <w:rFonts w:hint="eastAsia" w:ascii="仿宋_GB2312"/>
        </w:rPr>
        <w:t>套。城镇登记失业率控制在4%以内。城乡低保等社会救助标准实现一体化。成功举办第十六届省运会、第十届老健会。市域社会治理现代化纵深推进，人民群众获得感、幸福感、安全感稳步提升。</w:t>
      </w:r>
    </w:p>
    <w:p>
      <w:pPr>
        <w:pageBreakBefore w:val="0"/>
        <w:kinsoku/>
        <w:wordWrap/>
        <w:overflowPunct/>
        <w:topLinePunct w:val="0"/>
        <w:autoSpaceDE/>
        <w:autoSpaceDN/>
        <w:bidi w:val="0"/>
        <w:textAlignment w:val="auto"/>
        <w:rPr>
          <w:rFonts w:hint="eastAsia" w:ascii="仿宋_GB2312"/>
          <w:b/>
          <w:bCs/>
          <w:sz w:val="28"/>
        </w:rPr>
      </w:pPr>
      <w:r>
        <w:rPr>
          <w:rFonts w:hint="eastAsia" w:ascii="仿宋_GB2312"/>
          <w:b/>
          <w:bCs/>
          <w:sz w:val="28"/>
        </w:rPr>
        <w:br w:type="page"/>
      </w:r>
    </w:p>
    <w:p>
      <w:pPr>
        <w:pageBreakBefore w:val="0"/>
        <w:kinsoku/>
        <w:wordWrap/>
        <w:overflowPunct/>
        <w:topLinePunct w:val="0"/>
        <w:autoSpaceDE/>
        <w:autoSpaceDN/>
        <w:bidi w:val="0"/>
        <w:ind w:firstLine="0" w:firstLineChars="0"/>
        <w:jc w:val="center"/>
        <w:textAlignment w:val="auto"/>
        <w:rPr>
          <w:rFonts w:ascii="仿宋_GB2312"/>
          <w:b/>
          <w:bCs/>
          <w:sz w:val="28"/>
        </w:rPr>
      </w:pPr>
      <w:r>
        <w:rPr>
          <w:rFonts w:hint="eastAsia" w:ascii="仿宋_GB2312"/>
          <w:b/>
          <w:bCs/>
          <w:sz w:val="28"/>
        </w:rPr>
        <w:t>表</w:t>
      </w:r>
      <w:r>
        <w:rPr>
          <w:rFonts w:ascii="仿宋_GB2312"/>
          <w:b/>
          <w:bCs/>
          <w:sz w:val="28"/>
        </w:rPr>
        <w:t>1-1</w:t>
      </w:r>
      <w:r>
        <w:rPr>
          <w:rFonts w:hint="eastAsia" w:ascii="仿宋_GB2312"/>
          <w:b/>
          <w:bCs/>
          <w:sz w:val="28"/>
        </w:rPr>
        <w:t>宁德市十三五规划指标完成情况表</w:t>
      </w:r>
    </w:p>
    <w:tbl>
      <w:tblPr>
        <w:tblStyle w:val="23"/>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590"/>
        <w:gridCol w:w="737"/>
        <w:gridCol w:w="170"/>
        <w:gridCol w:w="1598"/>
        <w:gridCol w:w="885"/>
        <w:gridCol w:w="879"/>
        <w:gridCol w:w="840"/>
        <w:gridCol w:w="892"/>
        <w:gridCol w:w="833"/>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84" w:type="dxa"/>
            <w:vMerge w:val="restart"/>
            <w:vAlign w:val="center"/>
          </w:tcPr>
          <w:p>
            <w:pPr>
              <w:pageBreakBefore w:val="0"/>
              <w:widowControl/>
              <w:kinsoku/>
              <w:wordWrap/>
              <w:overflowPunct/>
              <w:topLinePunct w:val="0"/>
              <w:autoSpaceDE/>
              <w:autoSpaceDN/>
              <w:bidi w:val="0"/>
              <w:spacing w:line="240" w:lineRule="auto"/>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分类</w:t>
            </w:r>
          </w:p>
        </w:tc>
        <w:tc>
          <w:tcPr>
            <w:tcW w:w="590" w:type="dxa"/>
            <w:vMerge w:val="restart"/>
            <w:vAlign w:val="center"/>
          </w:tcPr>
          <w:p>
            <w:pPr>
              <w:pageBreakBefore w:val="0"/>
              <w:widowControl/>
              <w:kinsoku/>
              <w:wordWrap/>
              <w:overflowPunct/>
              <w:topLinePunct w:val="0"/>
              <w:autoSpaceDE/>
              <w:autoSpaceDN/>
              <w:bidi w:val="0"/>
              <w:spacing w:line="240" w:lineRule="auto"/>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序号</w:t>
            </w:r>
          </w:p>
        </w:tc>
        <w:tc>
          <w:tcPr>
            <w:tcW w:w="2505" w:type="dxa"/>
            <w:gridSpan w:val="3"/>
            <w:vMerge w:val="restart"/>
            <w:vAlign w:val="center"/>
          </w:tcPr>
          <w:p>
            <w:pPr>
              <w:pageBreakBefore w:val="0"/>
              <w:widowControl/>
              <w:kinsoku/>
              <w:wordWrap/>
              <w:overflowPunct/>
              <w:topLinePunct w:val="0"/>
              <w:autoSpaceDE/>
              <w:autoSpaceDN/>
              <w:bidi w:val="0"/>
              <w:spacing w:line="240" w:lineRule="auto"/>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指标名称</w:t>
            </w:r>
          </w:p>
        </w:tc>
        <w:tc>
          <w:tcPr>
            <w:tcW w:w="885" w:type="dxa"/>
            <w:vMerge w:val="restart"/>
            <w:vAlign w:val="center"/>
          </w:tcPr>
          <w:p>
            <w:pPr>
              <w:pageBreakBefore w:val="0"/>
              <w:widowControl/>
              <w:kinsoku/>
              <w:wordWrap/>
              <w:overflowPunct/>
              <w:topLinePunct w:val="0"/>
              <w:autoSpaceDE/>
              <w:autoSpaceDN/>
              <w:bidi w:val="0"/>
              <w:spacing w:line="240" w:lineRule="auto"/>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单位</w:t>
            </w:r>
          </w:p>
        </w:tc>
        <w:tc>
          <w:tcPr>
            <w:tcW w:w="879" w:type="dxa"/>
            <w:vMerge w:val="restart"/>
            <w:vAlign w:val="center"/>
          </w:tcPr>
          <w:p>
            <w:pPr>
              <w:pageBreakBefore w:val="0"/>
              <w:widowControl/>
              <w:kinsoku/>
              <w:wordWrap/>
              <w:overflowPunct/>
              <w:topLinePunct w:val="0"/>
              <w:autoSpaceDE/>
              <w:autoSpaceDN/>
              <w:bidi w:val="0"/>
              <w:spacing w:line="240" w:lineRule="auto"/>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2015年</w:t>
            </w:r>
          </w:p>
        </w:tc>
        <w:tc>
          <w:tcPr>
            <w:tcW w:w="1732" w:type="dxa"/>
            <w:gridSpan w:val="2"/>
            <w:vAlign w:val="center"/>
          </w:tcPr>
          <w:p>
            <w:pPr>
              <w:pageBreakBefore w:val="0"/>
              <w:widowControl/>
              <w:kinsoku/>
              <w:wordWrap/>
              <w:overflowPunct/>
              <w:topLinePunct w:val="0"/>
              <w:autoSpaceDE/>
              <w:autoSpaceDN/>
              <w:bidi w:val="0"/>
              <w:spacing w:line="240" w:lineRule="auto"/>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规划目标</w:t>
            </w:r>
          </w:p>
        </w:tc>
        <w:tc>
          <w:tcPr>
            <w:tcW w:w="1685" w:type="dxa"/>
            <w:gridSpan w:val="2"/>
            <w:vAlign w:val="center"/>
          </w:tcPr>
          <w:p>
            <w:pPr>
              <w:pageBreakBefore w:val="0"/>
              <w:widowControl/>
              <w:kinsoku/>
              <w:wordWrap/>
              <w:overflowPunct/>
              <w:topLinePunct w:val="0"/>
              <w:autoSpaceDE/>
              <w:autoSpaceDN/>
              <w:bidi w:val="0"/>
              <w:spacing w:line="240" w:lineRule="auto"/>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5"/>
                <w:szCs w:val="15"/>
              </w:rPr>
            </w:pPr>
          </w:p>
        </w:tc>
        <w:tc>
          <w:tcPr>
            <w:tcW w:w="590"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5"/>
                <w:szCs w:val="15"/>
              </w:rPr>
            </w:pPr>
          </w:p>
        </w:tc>
        <w:tc>
          <w:tcPr>
            <w:tcW w:w="2505" w:type="dxa"/>
            <w:gridSpan w:val="3"/>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5"/>
                <w:szCs w:val="15"/>
              </w:rPr>
            </w:pPr>
          </w:p>
        </w:tc>
        <w:tc>
          <w:tcPr>
            <w:tcW w:w="885"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5"/>
                <w:szCs w:val="15"/>
              </w:rPr>
            </w:pPr>
          </w:p>
        </w:tc>
        <w:tc>
          <w:tcPr>
            <w:tcW w:w="879"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5"/>
                <w:szCs w:val="15"/>
              </w:rPr>
            </w:pPr>
          </w:p>
        </w:tc>
        <w:tc>
          <w:tcPr>
            <w:tcW w:w="840" w:type="dxa"/>
            <w:vAlign w:val="center"/>
          </w:tcPr>
          <w:p>
            <w:pPr>
              <w:pageBreakBefore w:val="0"/>
              <w:widowControl/>
              <w:kinsoku/>
              <w:wordWrap/>
              <w:overflowPunct/>
              <w:topLinePunct w:val="0"/>
              <w:autoSpaceDE/>
              <w:autoSpaceDN/>
              <w:bidi w:val="0"/>
              <w:spacing w:line="240" w:lineRule="auto"/>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2020年</w:t>
            </w:r>
          </w:p>
        </w:tc>
        <w:tc>
          <w:tcPr>
            <w:tcW w:w="892" w:type="dxa"/>
            <w:vAlign w:val="center"/>
          </w:tcPr>
          <w:p>
            <w:pPr>
              <w:pageBreakBefore w:val="0"/>
              <w:widowControl/>
              <w:kinsoku/>
              <w:wordWrap/>
              <w:overflowPunct/>
              <w:topLinePunct w:val="0"/>
              <w:autoSpaceDE/>
              <w:autoSpaceDN/>
              <w:bidi w:val="0"/>
              <w:spacing w:line="200" w:lineRule="exact"/>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年均增长[累计]</w:t>
            </w:r>
          </w:p>
        </w:tc>
        <w:tc>
          <w:tcPr>
            <w:tcW w:w="833" w:type="dxa"/>
            <w:vAlign w:val="center"/>
          </w:tcPr>
          <w:p>
            <w:pPr>
              <w:pageBreakBefore w:val="0"/>
              <w:widowControl/>
              <w:kinsoku/>
              <w:wordWrap/>
              <w:overflowPunct/>
              <w:topLinePunct w:val="0"/>
              <w:autoSpaceDE/>
              <w:autoSpaceDN/>
              <w:bidi w:val="0"/>
              <w:spacing w:line="200" w:lineRule="exact"/>
              <w:ind w:firstLine="0" w:firstLineChars="0"/>
              <w:jc w:val="center"/>
              <w:textAlignment w:val="auto"/>
              <w:rPr>
                <w:rFonts w:hint="eastAsia" w:ascii="仿宋_GB2312" w:hAnsi="宋体" w:eastAsia="仿宋_GB2312" w:cs="宋体"/>
                <w:color w:val="000000"/>
                <w:kern w:val="0"/>
                <w:sz w:val="15"/>
                <w:szCs w:val="15"/>
                <w:lang w:eastAsia="zh-CN"/>
              </w:rPr>
            </w:pPr>
            <w:r>
              <w:rPr>
                <w:rFonts w:hint="eastAsia" w:ascii="仿宋_GB2312" w:hAnsi="宋体" w:cs="宋体"/>
                <w:color w:val="000000"/>
                <w:kern w:val="0"/>
                <w:sz w:val="15"/>
                <w:szCs w:val="15"/>
              </w:rPr>
              <w:t>2020年</w:t>
            </w:r>
          </w:p>
        </w:tc>
        <w:tc>
          <w:tcPr>
            <w:tcW w:w="852" w:type="dxa"/>
            <w:vAlign w:val="center"/>
          </w:tcPr>
          <w:p>
            <w:pPr>
              <w:pageBreakBefore w:val="0"/>
              <w:widowControl/>
              <w:kinsoku/>
              <w:wordWrap/>
              <w:overflowPunct/>
              <w:topLinePunct w:val="0"/>
              <w:autoSpaceDE/>
              <w:autoSpaceDN/>
              <w:bidi w:val="0"/>
              <w:spacing w:line="200" w:lineRule="exact"/>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年均增长[累计]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84" w:type="dxa"/>
            <w:vMerge w:val="restar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经济发展</w:t>
            </w: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地区生产总值</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亿元</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1590.9</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2300</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9%</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default" w:ascii="仿宋_GB2312" w:hAnsi="宋体" w:eastAsia="仿宋_GB2312" w:cs="宋体"/>
                <w:color w:val="000000"/>
                <w:kern w:val="0"/>
                <w:sz w:val="13"/>
                <w:szCs w:val="13"/>
                <w:lang w:val="en-US" w:eastAsia="zh-CN"/>
              </w:rPr>
            </w:pPr>
            <w:r>
              <w:rPr>
                <w:rFonts w:hint="eastAsia" w:ascii="仿宋_GB2312" w:hAnsi="宋体" w:cs="宋体"/>
                <w:color w:val="000000"/>
                <w:kern w:val="0"/>
                <w:sz w:val="13"/>
                <w:szCs w:val="13"/>
                <w:lang w:val="en-US" w:eastAsia="zh-CN"/>
              </w:rPr>
              <w:t>2619</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kern w:val="0"/>
                <w:sz w:val="13"/>
                <w:szCs w:val="13"/>
              </w:rPr>
            </w:pPr>
            <w:r>
              <w:rPr>
                <w:rFonts w:hint="eastAsia" w:ascii="仿宋_GB2312" w:hAnsi="宋体" w:cs="宋体"/>
                <w:kern w:val="0"/>
                <w:sz w:val="13"/>
                <w:szCs w:val="13"/>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人均地区生产总值</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万元</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5.56</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8</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8.60%</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9</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kern w:val="0"/>
                <w:sz w:val="13"/>
                <w:szCs w:val="13"/>
              </w:rPr>
            </w:pPr>
            <w:r>
              <w:rPr>
                <w:rFonts w:hint="eastAsia" w:ascii="仿宋_GB2312" w:hAnsi="宋体" w:cs="宋体"/>
                <w:kern w:val="0"/>
                <w:sz w:val="13"/>
                <w:szCs w:val="13"/>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公共财政总收入</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亿元</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147.4</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217</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8%</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233.5</w:t>
            </w:r>
            <w:r>
              <w:rPr>
                <w:rFonts w:hint="eastAsia" w:ascii="仿宋_GB2312" w:hAnsi="宋体" w:cs="宋体"/>
                <w:color w:val="000000"/>
                <w:kern w:val="0"/>
                <w:sz w:val="13"/>
                <w:szCs w:val="13"/>
                <w:lang w:val="en-US" w:eastAsia="zh-CN"/>
              </w:rPr>
              <w:t>5</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kern w:val="0"/>
                <w:sz w:val="13"/>
                <w:szCs w:val="13"/>
              </w:rPr>
            </w:pPr>
            <w:r>
              <w:rPr>
                <w:rFonts w:hint="eastAsia" w:ascii="仿宋_GB2312" w:hAnsi="宋体" w:cs="宋体"/>
                <w:kern w:val="0"/>
                <w:sz w:val="13"/>
                <w:szCs w:val="13"/>
              </w:rPr>
              <w:t>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4</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地方公共财政收入</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亿元</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104.39</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153</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8%</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137.</w:t>
            </w:r>
            <w:r>
              <w:rPr>
                <w:rFonts w:hint="eastAsia" w:ascii="仿宋_GB2312" w:hAnsi="宋体" w:cs="宋体"/>
                <w:color w:val="000000"/>
                <w:kern w:val="0"/>
                <w:sz w:val="13"/>
                <w:szCs w:val="13"/>
                <w:lang w:val="en-US" w:eastAsia="zh-CN"/>
              </w:rPr>
              <w:t>79</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kern w:val="0"/>
                <w:sz w:val="13"/>
                <w:szCs w:val="13"/>
              </w:rPr>
            </w:pPr>
            <w:r>
              <w:rPr>
                <w:rFonts w:hint="eastAsia" w:ascii="仿宋_GB2312" w:hAnsi="宋体" w:cs="宋体"/>
                <w:kern w:val="0"/>
                <w:sz w:val="13"/>
                <w:szCs w:val="13"/>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全社会固定资产投资</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亿元</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1258.5</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3000</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18%</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kern w:val="0"/>
                <w:sz w:val="13"/>
                <w:szCs w:val="13"/>
              </w:rPr>
            </w:pPr>
            <w:r>
              <w:rPr>
                <w:rFonts w:hint="eastAsia" w:ascii="仿宋_GB2312" w:hAnsi="宋体" w:cs="宋体"/>
                <w:kern w:val="0"/>
                <w:sz w:val="13"/>
                <w:szCs w:val="13"/>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6</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社会消费品零售总额</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亿元</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569.28</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820</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12%</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default" w:ascii="仿宋_GB2312" w:hAnsi="宋体" w:eastAsia="仿宋_GB2312" w:cs="宋体"/>
                <w:color w:val="000000"/>
                <w:kern w:val="0"/>
                <w:sz w:val="13"/>
                <w:szCs w:val="13"/>
                <w:lang w:val="en-US" w:eastAsia="zh-CN"/>
              </w:rPr>
            </w:pPr>
            <w:r>
              <w:rPr>
                <w:rFonts w:hint="eastAsia" w:ascii="仿宋_GB2312" w:hAnsi="宋体" w:cs="宋体"/>
                <w:color w:val="000000"/>
                <w:kern w:val="0"/>
                <w:sz w:val="13"/>
                <w:szCs w:val="13"/>
              </w:rPr>
              <w:t>825</w:t>
            </w:r>
            <w:r>
              <w:rPr>
                <w:rFonts w:hint="eastAsia" w:ascii="仿宋_GB2312" w:hAnsi="宋体" w:cs="宋体"/>
                <w:color w:val="000000"/>
                <w:kern w:val="0"/>
                <w:sz w:val="13"/>
                <w:szCs w:val="13"/>
                <w:lang w:val="en-US" w:eastAsia="zh-CN"/>
              </w:rPr>
              <w:t>.4</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kern w:val="0"/>
                <w:sz w:val="13"/>
                <w:szCs w:val="13"/>
              </w:rPr>
            </w:pPr>
            <w:r>
              <w:rPr>
                <w:rFonts w:hint="eastAsia" w:ascii="仿宋_GB2312" w:hAnsi="宋体" w:cs="宋体"/>
                <w:kern w:val="0"/>
                <w:sz w:val="13"/>
                <w:szCs w:val="13"/>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7</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外贸出口额</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亿元</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242.5</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310</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default" w:ascii="仿宋_GB2312" w:hAnsi="宋体" w:eastAsia="仿宋_GB2312" w:cs="宋体"/>
                <w:color w:val="000000"/>
                <w:kern w:val="0"/>
                <w:sz w:val="13"/>
                <w:szCs w:val="13"/>
                <w:lang w:val="en-US" w:eastAsia="zh-CN"/>
              </w:rPr>
            </w:pPr>
            <w:r>
              <w:rPr>
                <w:rFonts w:hint="eastAsia" w:ascii="仿宋_GB2312" w:hAnsi="宋体" w:cs="宋体"/>
                <w:color w:val="000000"/>
                <w:kern w:val="0"/>
                <w:sz w:val="13"/>
                <w:szCs w:val="13"/>
                <w:lang w:val="en-US" w:eastAsia="zh-CN"/>
              </w:rPr>
              <w:t>335.2</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kern w:val="0"/>
                <w:sz w:val="13"/>
                <w:szCs w:val="13"/>
              </w:rPr>
            </w:pPr>
            <w:r>
              <w:rPr>
                <w:rFonts w:hint="eastAsia" w:ascii="仿宋_GB2312" w:hAnsi="宋体" w:cs="宋体"/>
                <w:kern w:val="0"/>
                <w:sz w:val="13"/>
                <w:szCs w:val="13"/>
              </w:rPr>
              <w:t>6.</w:t>
            </w:r>
            <w:r>
              <w:rPr>
                <w:rFonts w:hint="eastAsia" w:ascii="仿宋_GB2312" w:hAnsi="宋体" w:cs="宋体"/>
                <w:kern w:val="0"/>
                <w:sz w:val="13"/>
                <w:szCs w:val="13"/>
                <w:lang w:val="en-US" w:eastAsia="zh-CN"/>
              </w:rPr>
              <w:t>7</w:t>
            </w:r>
            <w:r>
              <w:rPr>
                <w:rFonts w:hint="eastAsia" w:ascii="仿宋_GB2312" w:hAnsi="宋体" w:cs="宋体"/>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8</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Style w:val="52"/>
                <w:rFonts w:hint="eastAsia" w:ascii="仿宋_GB2312"/>
              </w:rPr>
            </w:pPr>
            <w:r>
              <w:rPr>
                <w:rFonts w:hint="eastAsia" w:ascii="仿宋_GB2312" w:hAnsi="宋体" w:cs="宋体"/>
                <w:color w:val="000000"/>
                <w:kern w:val="0"/>
                <w:sz w:val="13"/>
                <w:szCs w:val="13"/>
              </w:rPr>
              <w:t>实际利用外资</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亿元</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0.64</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1.48</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10%</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 xml:space="preserve">1.5 </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kern w:val="0"/>
                <w:sz w:val="13"/>
                <w:szCs w:val="13"/>
              </w:rPr>
            </w:pPr>
            <w:r>
              <w:rPr>
                <w:rFonts w:hint="eastAsia" w:ascii="仿宋_GB2312" w:hAnsi="宋体" w:cs="宋体"/>
                <w:kern w:val="0"/>
                <w:sz w:val="13"/>
                <w:szCs w:val="13"/>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9</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全员劳动生产率</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万元/人</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7.17</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50</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[15.7]</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kern w:val="0"/>
                <w:sz w:val="13"/>
                <w:szCs w:val="13"/>
              </w:rPr>
            </w:pPr>
            <w:r>
              <w:rPr>
                <w:rFonts w:hint="eastAsia" w:ascii="仿宋_GB2312" w:hAnsi="宋体" w:cs="宋体"/>
                <w:kern w:val="0"/>
                <w:sz w:val="13"/>
                <w:szCs w:val="13"/>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10</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服务业增加值比重</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31.8</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35</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[3.1]</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lang w:val="en-US" w:eastAsia="zh-CN"/>
              </w:rPr>
              <w:t>37.2</w:t>
            </w:r>
            <w:r>
              <w:rPr>
                <w:rFonts w:hint="eastAsia" w:ascii="仿宋_GB2312" w:hAnsi="宋体" w:cs="宋体"/>
                <w:color w:val="000000"/>
                <w:kern w:val="0"/>
                <w:sz w:val="13"/>
                <w:szCs w:val="13"/>
              </w:rPr>
              <w:t xml:space="preserve"> </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kern w:val="0"/>
                <w:sz w:val="13"/>
                <w:szCs w:val="13"/>
              </w:rPr>
            </w:pPr>
            <w:r>
              <w:rPr>
                <w:rFonts w:hint="eastAsia" w:ascii="仿宋_GB2312" w:hAnsi="宋体" w:cs="宋体"/>
                <w:kern w:val="0"/>
                <w:sz w:val="13"/>
                <w:szCs w:val="13"/>
              </w:rPr>
              <w:t>[</w:t>
            </w:r>
            <w:r>
              <w:rPr>
                <w:rFonts w:hint="eastAsia" w:ascii="仿宋_GB2312" w:hAnsi="宋体" w:cs="宋体"/>
                <w:kern w:val="0"/>
                <w:sz w:val="13"/>
                <w:szCs w:val="13"/>
                <w:lang w:val="en-US" w:eastAsia="zh-CN"/>
              </w:rPr>
              <w:t>5.4</w:t>
            </w:r>
            <w:r>
              <w:rPr>
                <w:rFonts w:hint="eastAsia" w:ascii="仿宋_GB2312" w:hAnsi="宋体" w:cs="宋体"/>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Merge w:val="restart"/>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11</w:t>
            </w:r>
          </w:p>
        </w:tc>
        <w:tc>
          <w:tcPr>
            <w:tcW w:w="737" w:type="dxa"/>
            <w:vMerge w:val="restart"/>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城镇化率</w:t>
            </w:r>
          </w:p>
        </w:tc>
        <w:tc>
          <w:tcPr>
            <w:tcW w:w="1768" w:type="dxa"/>
            <w:gridSpan w:val="2"/>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户籍人口城镇化率</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34.54</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43</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sz w:val="13"/>
                <w:szCs w:val="13"/>
              </w:rPr>
              <w:t>[8.7]</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37.</w:t>
            </w:r>
            <w:r>
              <w:rPr>
                <w:rFonts w:hint="eastAsia" w:ascii="仿宋_GB2312" w:hAnsi="宋体" w:cs="宋体"/>
                <w:color w:val="000000"/>
                <w:kern w:val="0"/>
                <w:sz w:val="13"/>
                <w:szCs w:val="13"/>
                <w:lang w:val="en-US" w:eastAsia="zh-CN"/>
              </w:rPr>
              <w:t>81</w:t>
            </w:r>
            <w:r>
              <w:rPr>
                <w:rFonts w:hint="eastAsia" w:ascii="仿宋_GB2312" w:hAnsi="宋体" w:cs="宋体"/>
                <w:color w:val="000000"/>
                <w:kern w:val="0"/>
                <w:sz w:val="13"/>
                <w:szCs w:val="13"/>
              </w:rPr>
              <w:t xml:space="preserve"> </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eastAsia="仿宋_GB2312" w:cs="宋体"/>
                <w:color w:val="000000"/>
                <w:kern w:val="0"/>
                <w:sz w:val="13"/>
                <w:szCs w:val="13"/>
                <w:lang w:eastAsia="zh-CN"/>
              </w:rPr>
            </w:pPr>
            <w:r>
              <w:rPr>
                <w:rFonts w:hint="eastAsia" w:ascii="仿宋_GB2312" w:hAnsi="宋体" w:cs="宋体"/>
                <w:color w:val="000000"/>
                <w:kern w:val="0"/>
                <w:sz w:val="13"/>
                <w:szCs w:val="13"/>
                <w:lang w:eastAsia="zh-CN"/>
              </w:rPr>
              <w:t>［</w:t>
            </w:r>
            <w:r>
              <w:rPr>
                <w:rFonts w:hint="eastAsia" w:ascii="仿宋_GB2312" w:hAnsi="宋体" w:cs="宋体"/>
                <w:color w:val="000000"/>
                <w:kern w:val="0"/>
                <w:sz w:val="13"/>
                <w:szCs w:val="13"/>
              </w:rPr>
              <w:t>3.</w:t>
            </w:r>
            <w:r>
              <w:rPr>
                <w:rFonts w:hint="eastAsia" w:ascii="仿宋_GB2312" w:hAnsi="宋体" w:cs="宋体"/>
                <w:color w:val="000000"/>
                <w:kern w:val="0"/>
                <w:sz w:val="13"/>
                <w:szCs w:val="13"/>
                <w:lang w:val="en-US" w:eastAsia="zh-CN"/>
              </w:rPr>
              <w:t>27</w:t>
            </w:r>
            <w:r>
              <w:rPr>
                <w:rFonts w:hint="eastAsia" w:ascii="仿宋_GB2312" w:hAnsi="宋体" w:cs="宋体"/>
                <w:color w:val="000000"/>
                <w:kern w:val="0"/>
                <w:sz w:val="13"/>
                <w:szCs w:val="13"/>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737" w:type="dxa"/>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1768" w:type="dxa"/>
            <w:gridSpan w:val="2"/>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常住人口城镇化率</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53.6</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60</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sz w:val="13"/>
                <w:szCs w:val="13"/>
              </w:rPr>
              <w:t>[6.4]</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59</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sz w:val="13"/>
                <w:szCs w:val="13"/>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584" w:type="dxa"/>
            <w:vMerge w:val="restar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创新驱动</w:t>
            </w: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12</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研究与试验发展（R&amp;D）经费投入强度</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0.94</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1.6</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[0.66]</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1.7</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13</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每万人口发明专利拥有量</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件</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1.593</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0.7</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5.6</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14</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科技进步贡献率</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53</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54</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Merge w:val="restart"/>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15</w:t>
            </w:r>
          </w:p>
        </w:tc>
        <w:tc>
          <w:tcPr>
            <w:tcW w:w="737" w:type="dxa"/>
            <w:vMerge w:val="restart"/>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互联网普及率</w:t>
            </w:r>
          </w:p>
        </w:tc>
        <w:tc>
          <w:tcPr>
            <w:tcW w:w="1768" w:type="dxa"/>
            <w:gridSpan w:val="2"/>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固定宽带家庭普及率</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59.7</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65</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[5.3]</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130</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737" w:type="dxa"/>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1768" w:type="dxa"/>
            <w:gridSpan w:val="2"/>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移动宽带普及率</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57</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79</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[22]</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86.7</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584" w:type="dxa"/>
            <w:vMerge w:val="restar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民生福祉</w:t>
            </w: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16</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居民人均可支配收入</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元</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19175</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30000左右</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9%</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default" w:ascii="仿宋_GB2312" w:hAnsi="宋体" w:eastAsia="仿宋_GB2312" w:cs="宋体"/>
                <w:color w:val="000000"/>
                <w:kern w:val="0"/>
                <w:sz w:val="13"/>
                <w:szCs w:val="13"/>
                <w:lang w:val="en-US" w:eastAsia="zh-CN"/>
              </w:rPr>
            </w:pPr>
            <w:r>
              <w:rPr>
                <w:rFonts w:hint="eastAsia" w:ascii="仿宋_GB2312" w:hAnsi="宋体" w:cs="宋体"/>
                <w:color w:val="000000"/>
                <w:kern w:val="0"/>
                <w:sz w:val="13"/>
                <w:szCs w:val="13"/>
                <w:lang w:val="en-US" w:eastAsia="zh-CN"/>
              </w:rPr>
              <w:t>28574</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8.</w:t>
            </w:r>
            <w:r>
              <w:rPr>
                <w:rFonts w:hint="eastAsia" w:ascii="仿宋_GB2312" w:hAnsi="宋体" w:cs="宋体"/>
                <w:color w:val="000000"/>
                <w:kern w:val="0"/>
                <w:sz w:val="13"/>
                <w:szCs w:val="13"/>
                <w:lang w:val="en-US" w:eastAsia="zh-CN"/>
              </w:rPr>
              <w:t>2</w:t>
            </w:r>
            <w:r>
              <w:rPr>
                <w:rFonts w:hint="eastAsia" w:ascii="仿宋_GB2312"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17</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劳动年龄人口平均受教育年限</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年</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　</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12</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　-</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lang w:val="en-US" w:eastAsia="zh-CN"/>
              </w:rPr>
              <w:t>12</w:t>
            </w:r>
            <w:r>
              <w:rPr>
                <w:rFonts w:hint="eastAsia" w:ascii="仿宋_GB2312" w:hAnsi="宋体" w:cs="宋体"/>
                <w:color w:val="000000"/>
                <w:kern w:val="0"/>
                <w:sz w:val="13"/>
                <w:szCs w:val="13"/>
              </w:rPr>
              <w:t>　</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18</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财政教育支出占财政一般预算支出比重</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20.43</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21</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基本保持</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 xml:space="preserve">21 </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19</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城镇新增就业人数</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万人</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3.4</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[14]</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20</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农村贫困人口脱贫</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万人</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[11.5]</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21</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人均预期寿命</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岁</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76.49</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77</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[0.51]</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78.7</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 xml:space="preserve">[2.21]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22</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基本养老保险参保率</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80.01</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90</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[10]</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default" w:ascii="仿宋_GB2312" w:hAnsi="宋体" w:eastAsia="仿宋_GB2312" w:cs="宋体"/>
                <w:color w:val="000000"/>
                <w:kern w:val="0"/>
                <w:sz w:val="13"/>
                <w:szCs w:val="13"/>
                <w:lang w:val="en-US" w:eastAsia="zh-CN"/>
              </w:rPr>
            </w:pPr>
            <w:r>
              <w:rPr>
                <w:rFonts w:hint="eastAsia" w:ascii="仿宋_GB2312" w:hAnsi="宋体" w:cs="宋体"/>
                <w:color w:val="000000"/>
                <w:kern w:val="0"/>
                <w:sz w:val="13"/>
                <w:szCs w:val="13"/>
                <w:lang w:val="en-US" w:eastAsia="zh-CN"/>
              </w:rPr>
              <w:t>90.89</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w:t>
            </w:r>
            <w:r>
              <w:rPr>
                <w:rFonts w:hint="eastAsia" w:ascii="仿宋_GB2312" w:hAnsi="宋体" w:cs="宋体"/>
                <w:color w:val="000000"/>
                <w:kern w:val="0"/>
                <w:sz w:val="13"/>
                <w:szCs w:val="13"/>
                <w:lang w:val="en-US" w:eastAsia="zh-CN"/>
              </w:rPr>
              <w:t>0.88</w:t>
            </w:r>
            <w:r>
              <w:rPr>
                <w:rFonts w:hint="eastAsia" w:ascii="仿宋_GB2312" w:hAnsi="宋体" w:cs="宋体"/>
                <w:color w:val="000000"/>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84"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left"/>
              <w:textAlignment w:val="auto"/>
              <w:rPr>
                <w:rFonts w:hint="eastAsia" w:ascii="仿宋_GB2312" w:hAnsi="宋体" w:cs="宋体"/>
                <w:color w:val="000000"/>
                <w:kern w:val="0"/>
                <w:sz w:val="15"/>
                <w:szCs w:val="15"/>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23</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城镇棚户区住房改造</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套</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6487</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11000</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12494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84" w:type="dxa"/>
            <w:vMerge w:val="restart"/>
            <w:vAlign w:val="center"/>
          </w:tcPr>
          <w:p>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宋体" w:cs="宋体"/>
                <w:color w:val="000000"/>
                <w:kern w:val="0"/>
                <w:sz w:val="15"/>
                <w:szCs w:val="15"/>
              </w:rPr>
            </w:pPr>
            <w:r>
              <w:rPr>
                <w:rFonts w:hint="eastAsia" w:ascii="仿宋_GB2312" w:hAnsi="宋体" w:cs="宋体"/>
                <w:color w:val="000000"/>
                <w:kern w:val="0"/>
                <w:sz w:val="15"/>
                <w:szCs w:val="15"/>
              </w:rPr>
              <w:t>生态文明</w:t>
            </w: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24</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耕地保有量</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万亩</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243.48</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不低于省下达指标</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不低于省下达指标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25</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新增建设用地规模</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万亩</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2.64</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控制在省下达指标内</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控制在省下达指标内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26</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万元GDP用水量</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立方米</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105</w:t>
            </w:r>
          </w:p>
        </w:tc>
        <w:tc>
          <w:tcPr>
            <w:tcW w:w="84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72.3</w:t>
            </w:r>
          </w:p>
        </w:tc>
        <w:tc>
          <w:tcPr>
            <w:tcW w:w="89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-7.1</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51.9</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27</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单位GDP能源消耗降低</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控制在省下达指标内</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控制在省下达指标内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28</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非化石能源占一次性能源消费比重</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66.7</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基本保持</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29</w:t>
            </w:r>
          </w:p>
        </w:tc>
        <w:tc>
          <w:tcPr>
            <w:tcW w:w="2505" w:type="dxa"/>
            <w:gridSpan w:val="3"/>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单位GDP二氧化碳排放降低</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控制在省下达指标内</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控制在省下达指标内</w:t>
            </w:r>
          </w:p>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[-19.2]</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 xml:space="preserve">       [-5.76]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Merge w:val="restart"/>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30</w:t>
            </w:r>
          </w:p>
        </w:tc>
        <w:tc>
          <w:tcPr>
            <w:tcW w:w="907" w:type="dxa"/>
            <w:gridSpan w:val="2"/>
            <w:vMerge w:val="restart"/>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森林增长</w:t>
            </w:r>
          </w:p>
        </w:tc>
        <w:tc>
          <w:tcPr>
            <w:tcW w:w="1598" w:type="dxa"/>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森林覆盖率</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66.99</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基本保持</w:t>
            </w:r>
          </w:p>
        </w:tc>
        <w:tc>
          <w:tcPr>
            <w:tcW w:w="833"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69.98</w:t>
            </w:r>
          </w:p>
        </w:tc>
        <w:tc>
          <w:tcPr>
            <w:tcW w:w="852"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907" w:type="dxa"/>
            <w:gridSpan w:val="2"/>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1598" w:type="dxa"/>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森林蓄积量</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万立方米</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4371.6</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4410</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5340.3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Merge w:val="restart"/>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31</w:t>
            </w:r>
          </w:p>
        </w:tc>
        <w:tc>
          <w:tcPr>
            <w:tcW w:w="907" w:type="dxa"/>
            <w:gridSpan w:val="2"/>
            <w:vMerge w:val="restart"/>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空气质量</w:t>
            </w:r>
          </w:p>
        </w:tc>
        <w:tc>
          <w:tcPr>
            <w:tcW w:w="1598" w:type="dxa"/>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市县城区空气质量优良天数比例</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96.1</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90</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907" w:type="dxa"/>
            <w:gridSpan w:val="2"/>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1598" w:type="dxa"/>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市县城区细颗粒物（PM2.5）浓度</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微克/立方米</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32</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35</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Merge w:val="restart"/>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32</w:t>
            </w:r>
          </w:p>
        </w:tc>
        <w:tc>
          <w:tcPr>
            <w:tcW w:w="907" w:type="dxa"/>
            <w:gridSpan w:val="2"/>
            <w:vMerge w:val="restart"/>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水质</w:t>
            </w:r>
          </w:p>
        </w:tc>
        <w:tc>
          <w:tcPr>
            <w:tcW w:w="1598" w:type="dxa"/>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好于III类水体比例</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97.8</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100</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907" w:type="dxa"/>
            <w:gridSpan w:val="2"/>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1598" w:type="dxa"/>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劣V类水体比例</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0</w:t>
            </w:r>
          </w:p>
        </w:tc>
        <w:tc>
          <w:tcPr>
            <w:tcW w:w="1732"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0</w:t>
            </w:r>
          </w:p>
        </w:tc>
        <w:tc>
          <w:tcPr>
            <w:tcW w:w="1685" w:type="dxa"/>
            <w:gridSpan w:val="2"/>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Merge w:val="restart"/>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33</w:t>
            </w:r>
          </w:p>
        </w:tc>
        <w:tc>
          <w:tcPr>
            <w:tcW w:w="907" w:type="dxa"/>
            <w:gridSpan w:val="2"/>
            <w:vMerge w:val="restart"/>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主要污染物排放总量减少</w:t>
            </w:r>
          </w:p>
        </w:tc>
        <w:tc>
          <w:tcPr>
            <w:tcW w:w="1598" w:type="dxa"/>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化学需氧量</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Merge w:val="restart"/>
            <w:vAlign w:val="center"/>
          </w:tcPr>
          <w:p>
            <w:pPr>
              <w:pageBreakBefore w:val="0"/>
              <w:kinsoku/>
              <w:wordWrap/>
              <w:overflowPunct/>
              <w:topLinePunct w:val="0"/>
              <w:autoSpaceDE/>
              <w:autoSpaceDN/>
              <w:bidi w:val="0"/>
              <w:spacing w:line="160" w:lineRule="exact"/>
              <w:ind w:firstLine="0" w:firstLineChars="0"/>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控制在省下达指标内</w:t>
            </w:r>
          </w:p>
        </w:tc>
        <w:tc>
          <w:tcPr>
            <w:tcW w:w="1732" w:type="dxa"/>
            <w:gridSpan w:val="2"/>
            <w:vMerge w:val="restart"/>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控制在省下达指标内</w:t>
            </w:r>
          </w:p>
        </w:tc>
        <w:tc>
          <w:tcPr>
            <w:tcW w:w="1685" w:type="dxa"/>
            <w:gridSpan w:val="2"/>
            <w:vMerge w:val="restart"/>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　控制在省下达指标内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907" w:type="dxa"/>
            <w:gridSpan w:val="2"/>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1598" w:type="dxa"/>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氨氮</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Merge w:val="continue"/>
            <w:vAlign w:val="center"/>
          </w:tcPr>
          <w:p>
            <w:pPr>
              <w:pageBreakBefore w:val="0"/>
              <w:kinsoku/>
              <w:wordWrap/>
              <w:overflowPunct/>
              <w:topLinePunct w:val="0"/>
              <w:autoSpaceDE/>
              <w:autoSpaceDN/>
              <w:bidi w:val="0"/>
              <w:spacing w:line="160" w:lineRule="exact"/>
              <w:ind w:firstLine="260"/>
              <w:jc w:val="center"/>
              <w:textAlignment w:val="auto"/>
              <w:rPr>
                <w:rFonts w:hint="eastAsia" w:ascii="仿宋_GB2312" w:hAnsi="宋体" w:cs="宋体"/>
                <w:color w:val="000000"/>
                <w:kern w:val="0"/>
                <w:sz w:val="13"/>
                <w:szCs w:val="13"/>
              </w:rPr>
            </w:pPr>
          </w:p>
        </w:tc>
        <w:tc>
          <w:tcPr>
            <w:tcW w:w="1732" w:type="dxa"/>
            <w:gridSpan w:val="2"/>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1685" w:type="dxa"/>
            <w:gridSpan w:val="2"/>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907" w:type="dxa"/>
            <w:gridSpan w:val="2"/>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1598" w:type="dxa"/>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二氧化硫</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Merge w:val="continue"/>
            <w:vAlign w:val="center"/>
          </w:tcPr>
          <w:p>
            <w:pPr>
              <w:pageBreakBefore w:val="0"/>
              <w:kinsoku/>
              <w:wordWrap/>
              <w:overflowPunct/>
              <w:topLinePunct w:val="0"/>
              <w:autoSpaceDE/>
              <w:autoSpaceDN/>
              <w:bidi w:val="0"/>
              <w:spacing w:line="160" w:lineRule="exact"/>
              <w:ind w:firstLine="260"/>
              <w:jc w:val="center"/>
              <w:textAlignment w:val="auto"/>
              <w:rPr>
                <w:rFonts w:hint="eastAsia" w:ascii="仿宋_GB2312" w:hAnsi="宋体" w:cs="宋体"/>
                <w:color w:val="000000"/>
                <w:kern w:val="0"/>
                <w:sz w:val="13"/>
                <w:szCs w:val="13"/>
              </w:rPr>
            </w:pPr>
          </w:p>
        </w:tc>
        <w:tc>
          <w:tcPr>
            <w:tcW w:w="1732" w:type="dxa"/>
            <w:gridSpan w:val="2"/>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1685" w:type="dxa"/>
            <w:gridSpan w:val="2"/>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584" w:type="dxa"/>
            <w:vMerge w:val="continue"/>
            <w:vAlign w:val="center"/>
          </w:tcPr>
          <w:p>
            <w:pPr>
              <w:pageBreakBefore w:val="0"/>
              <w:widowControl/>
              <w:kinsoku/>
              <w:wordWrap/>
              <w:overflowPunct/>
              <w:topLinePunct w:val="0"/>
              <w:autoSpaceDE/>
              <w:autoSpaceDN/>
              <w:bidi w:val="0"/>
              <w:spacing w:line="240" w:lineRule="auto"/>
              <w:ind w:firstLine="0" w:firstLineChars="0"/>
              <w:jc w:val="left"/>
              <w:textAlignment w:val="auto"/>
              <w:rPr>
                <w:rFonts w:hint="eastAsia" w:ascii="仿宋_GB2312" w:hAnsi="宋体" w:cs="宋体"/>
                <w:color w:val="000000"/>
                <w:kern w:val="0"/>
                <w:sz w:val="11"/>
                <w:szCs w:val="11"/>
              </w:rPr>
            </w:pPr>
          </w:p>
        </w:tc>
        <w:tc>
          <w:tcPr>
            <w:tcW w:w="590" w:type="dxa"/>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907" w:type="dxa"/>
            <w:gridSpan w:val="2"/>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1598" w:type="dxa"/>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氮氧化物</w:t>
            </w:r>
          </w:p>
        </w:tc>
        <w:tc>
          <w:tcPr>
            <w:tcW w:w="885" w:type="dxa"/>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r>
              <w:rPr>
                <w:rFonts w:hint="eastAsia" w:ascii="仿宋_GB2312" w:hAnsi="宋体" w:cs="宋体"/>
                <w:color w:val="000000"/>
                <w:kern w:val="0"/>
                <w:sz w:val="13"/>
                <w:szCs w:val="13"/>
              </w:rPr>
              <w:t>%</w:t>
            </w:r>
          </w:p>
        </w:tc>
        <w:tc>
          <w:tcPr>
            <w:tcW w:w="879" w:type="dxa"/>
            <w:vMerge w:val="continue"/>
            <w:vAlign w:val="center"/>
          </w:tcPr>
          <w:p>
            <w:pPr>
              <w:pageBreakBefore w:val="0"/>
              <w:widowControl/>
              <w:kinsoku/>
              <w:wordWrap/>
              <w:overflowPunct/>
              <w:topLinePunct w:val="0"/>
              <w:autoSpaceDE/>
              <w:autoSpaceDN/>
              <w:bidi w:val="0"/>
              <w:spacing w:line="160" w:lineRule="exact"/>
              <w:ind w:firstLine="0" w:firstLineChars="0"/>
              <w:jc w:val="center"/>
              <w:textAlignment w:val="auto"/>
              <w:rPr>
                <w:rFonts w:hint="eastAsia" w:ascii="仿宋_GB2312" w:hAnsi="宋体" w:cs="宋体"/>
                <w:color w:val="000000"/>
                <w:kern w:val="0"/>
                <w:sz w:val="13"/>
                <w:szCs w:val="13"/>
              </w:rPr>
            </w:pPr>
          </w:p>
        </w:tc>
        <w:tc>
          <w:tcPr>
            <w:tcW w:w="1732" w:type="dxa"/>
            <w:gridSpan w:val="2"/>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c>
          <w:tcPr>
            <w:tcW w:w="1685" w:type="dxa"/>
            <w:gridSpan w:val="2"/>
            <w:vMerge w:val="continue"/>
            <w:vAlign w:val="center"/>
          </w:tcPr>
          <w:p>
            <w:pPr>
              <w:pageBreakBefore w:val="0"/>
              <w:widowControl/>
              <w:kinsoku/>
              <w:wordWrap/>
              <w:overflowPunct/>
              <w:topLinePunct w:val="0"/>
              <w:autoSpaceDE/>
              <w:autoSpaceDN/>
              <w:bidi w:val="0"/>
              <w:spacing w:line="160" w:lineRule="exact"/>
              <w:ind w:firstLine="0" w:firstLineChars="0"/>
              <w:jc w:val="left"/>
              <w:textAlignment w:val="auto"/>
              <w:rPr>
                <w:rFonts w:hint="eastAsia" w:ascii="仿宋_GB2312" w:hAnsi="宋体" w:cs="宋体"/>
                <w:color w:val="000000"/>
                <w:kern w:val="0"/>
                <w:sz w:val="13"/>
                <w:szCs w:val="13"/>
              </w:rPr>
            </w:pPr>
          </w:p>
        </w:tc>
      </w:tr>
    </w:tbl>
    <w:p>
      <w:pPr>
        <w:pageBreakBefore w:val="0"/>
        <w:widowControl/>
        <w:kinsoku/>
        <w:wordWrap/>
        <w:overflowPunct/>
        <w:topLinePunct w:val="0"/>
        <w:autoSpaceDE/>
        <w:autoSpaceDN/>
        <w:bidi w:val="0"/>
        <w:spacing w:line="200" w:lineRule="exact"/>
        <w:ind w:firstLine="0" w:firstLineChars="0"/>
        <w:textAlignment w:val="auto"/>
        <w:rPr>
          <w:rFonts w:hint="eastAsia" w:ascii="仿宋_GB2312" w:hAnsi="仿宋_GB2312" w:cs="仿宋_GB2312"/>
          <w:color w:val="000000"/>
          <w:kern w:val="0"/>
          <w:sz w:val="16"/>
          <w:szCs w:val="16"/>
        </w:rPr>
      </w:pPr>
      <w:bookmarkStart w:id="48" w:name="_Toc30481"/>
      <w:bookmarkStart w:id="49" w:name="_Toc15668"/>
      <w:bookmarkStart w:id="50" w:name="_Toc24452"/>
      <w:bookmarkStart w:id="51" w:name="_Toc21337"/>
      <w:bookmarkStart w:id="52" w:name="_Toc6105"/>
      <w:bookmarkStart w:id="53" w:name="_Toc2997"/>
      <w:bookmarkStart w:id="54" w:name="_Toc29670"/>
      <w:bookmarkStart w:id="55" w:name="_Toc3818"/>
      <w:bookmarkStart w:id="56" w:name="_Toc29891"/>
      <w:bookmarkStart w:id="57" w:name="_Toc6647"/>
      <w:bookmarkStart w:id="58" w:name="_Toc28408"/>
      <w:bookmarkStart w:id="59" w:name="_Toc11421"/>
      <w:r>
        <w:rPr>
          <w:rFonts w:hint="eastAsia" w:ascii="仿宋_GB2312" w:hAnsi="仿宋_GB2312" w:cs="仿宋_GB2312"/>
          <w:color w:val="000000"/>
          <w:kern w:val="0"/>
          <w:sz w:val="16"/>
          <w:szCs w:val="16"/>
        </w:rPr>
        <w:t>备注：1.</w:t>
      </w:r>
      <w:r>
        <w:rPr>
          <w:rFonts w:hint="eastAsia" w:ascii="仿宋_GB2312" w:hAnsi="仿宋_GB2312" w:cs="仿宋_GB2312"/>
          <w:b/>
          <w:color w:val="000000"/>
          <w:kern w:val="0"/>
          <w:sz w:val="16"/>
          <w:szCs w:val="16"/>
        </w:rPr>
        <w:t>地区生产总值、人均地区生产总值</w:t>
      </w:r>
      <w:r>
        <w:rPr>
          <w:rFonts w:hint="eastAsia" w:ascii="仿宋_GB2312" w:hAnsi="仿宋_GB2312" w:cs="仿宋_GB2312"/>
          <w:color w:val="000000"/>
          <w:kern w:val="0"/>
          <w:sz w:val="16"/>
          <w:szCs w:val="16"/>
        </w:rPr>
        <w:t>指标受第四次经济普查和去产能等因素影响，绝对值与年均增长率不一致。</w:t>
      </w:r>
    </w:p>
    <w:p>
      <w:pPr>
        <w:pageBreakBefore w:val="0"/>
        <w:widowControl/>
        <w:numPr>
          <w:ilvl w:val="0"/>
          <w:numId w:val="0"/>
        </w:numPr>
        <w:kinsoku/>
        <w:wordWrap/>
        <w:overflowPunct/>
        <w:topLinePunct w:val="0"/>
        <w:autoSpaceDE/>
        <w:autoSpaceDN/>
        <w:bidi w:val="0"/>
        <w:spacing w:line="200" w:lineRule="exact"/>
        <w:ind w:leftChars="159"/>
        <w:textAlignment w:val="auto"/>
        <w:rPr>
          <w:rFonts w:hint="eastAsia" w:ascii="仿宋_GB2312" w:hAnsi="仿宋_GB2312" w:cs="仿宋_GB2312"/>
          <w:color w:val="000000"/>
          <w:kern w:val="0"/>
          <w:sz w:val="16"/>
          <w:szCs w:val="16"/>
        </w:rPr>
      </w:pPr>
      <w:r>
        <w:rPr>
          <w:rFonts w:hint="eastAsia" w:ascii="仿宋_GB2312" w:hAnsi="仿宋_GB2312" w:cs="仿宋_GB2312"/>
          <w:b/>
          <w:color w:val="000000"/>
          <w:kern w:val="0"/>
          <w:sz w:val="16"/>
          <w:szCs w:val="16"/>
          <w:lang w:val="en-US" w:eastAsia="zh-CN"/>
        </w:rPr>
        <w:t>2.</w:t>
      </w:r>
      <w:r>
        <w:rPr>
          <w:rFonts w:hint="eastAsia" w:ascii="仿宋_GB2312" w:hAnsi="仿宋_GB2312" w:cs="仿宋_GB2312"/>
          <w:b/>
          <w:color w:val="000000"/>
          <w:kern w:val="0"/>
          <w:sz w:val="16"/>
          <w:szCs w:val="16"/>
        </w:rPr>
        <w:t>全员劳动生产率</w:t>
      </w:r>
      <w:r>
        <w:rPr>
          <w:rFonts w:hint="eastAsia" w:ascii="仿宋_GB2312" w:hAnsi="仿宋_GB2312" w:cs="仿宋_GB2312"/>
          <w:color w:val="000000"/>
          <w:kern w:val="0"/>
          <w:sz w:val="16"/>
          <w:szCs w:val="16"/>
        </w:rPr>
        <w:t>指标设定目标值时，尚未确定测算方式，暂按规上工业增加值与规上工业企业从业人员数的比值，与最终测算方式（地区生产总值与全部从业人员数的比值）不一致，导致完成值与规划目标差距较大。</w:t>
      </w:r>
    </w:p>
    <w:p>
      <w:pPr>
        <w:pageBreakBefore w:val="0"/>
        <w:widowControl/>
        <w:numPr>
          <w:ilvl w:val="0"/>
          <w:numId w:val="0"/>
        </w:numPr>
        <w:kinsoku/>
        <w:wordWrap/>
        <w:overflowPunct/>
        <w:topLinePunct w:val="0"/>
        <w:autoSpaceDE/>
        <w:autoSpaceDN/>
        <w:bidi w:val="0"/>
        <w:spacing w:line="200" w:lineRule="exact"/>
        <w:ind w:leftChars="159"/>
        <w:textAlignment w:val="auto"/>
        <w:rPr>
          <w:rFonts w:ascii="仿宋_GB2312" w:hAnsi="仿宋_GB2312" w:cs="仿宋_GB2312"/>
          <w:color w:val="000000"/>
          <w:kern w:val="0"/>
          <w:sz w:val="16"/>
          <w:szCs w:val="16"/>
        </w:rPr>
      </w:pPr>
      <w:r>
        <w:rPr>
          <w:rFonts w:hint="eastAsia" w:ascii="仿宋_GB2312" w:hAnsi="仿宋_GB2312" w:cs="仿宋_GB2312"/>
          <w:b/>
          <w:color w:val="000000"/>
          <w:kern w:val="0"/>
          <w:sz w:val="16"/>
          <w:szCs w:val="16"/>
          <w:lang w:val="en-US" w:eastAsia="zh-CN"/>
        </w:rPr>
        <w:t>3.</w:t>
      </w:r>
      <w:r>
        <w:rPr>
          <w:rFonts w:hint="eastAsia" w:ascii="仿宋_GB2312" w:hAnsi="仿宋_GB2312" w:cs="仿宋_GB2312"/>
          <w:b/>
          <w:color w:val="000000"/>
          <w:kern w:val="0"/>
          <w:sz w:val="16"/>
          <w:szCs w:val="16"/>
        </w:rPr>
        <w:t>农村贫困人口脱贫</w:t>
      </w:r>
      <w:r>
        <w:rPr>
          <w:rFonts w:hint="eastAsia" w:ascii="仿宋_GB2312" w:hAnsi="仿宋_GB2312" w:cs="仿宋_GB2312"/>
          <w:color w:val="000000"/>
          <w:kern w:val="0"/>
          <w:sz w:val="16"/>
          <w:szCs w:val="16"/>
        </w:rPr>
        <w:t>指标目标值与完成值均含2015年数据。</w:t>
      </w:r>
    </w:p>
    <w:p>
      <w:pPr>
        <w:pageBreakBefore w:val="0"/>
        <w:widowControl/>
        <w:kinsoku/>
        <w:wordWrap/>
        <w:overflowPunct/>
        <w:topLinePunct w:val="0"/>
        <w:autoSpaceDE/>
        <w:autoSpaceDN/>
        <w:bidi w:val="0"/>
        <w:spacing w:line="200" w:lineRule="exact"/>
        <w:ind w:firstLine="480" w:firstLineChars="300"/>
        <w:jc w:val="left"/>
        <w:textAlignment w:val="auto"/>
        <w:rPr>
          <w:rFonts w:hint="eastAsia" w:ascii="仿宋_GB2312" w:hAnsi="仿宋_GB2312" w:eastAsia="仿宋_GB2312" w:cs="仿宋_GB2312"/>
          <w:color w:val="000000"/>
          <w:kern w:val="0"/>
          <w:sz w:val="16"/>
          <w:szCs w:val="16"/>
          <w:lang w:eastAsia="zh-CN"/>
        </w:rPr>
      </w:pPr>
      <w:r>
        <w:rPr>
          <w:rFonts w:hint="eastAsia" w:ascii="仿宋_GB2312" w:hAnsi="仿宋_GB2312" w:cs="仿宋_GB2312"/>
          <w:color w:val="000000"/>
          <w:kern w:val="0"/>
          <w:sz w:val="16"/>
          <w:szCs w:val="16"/>
          <w:lang w:val="en-US" w:eastAsia="zh-CN"/>
        </w:rPr>
        <w:t>4.</w:t>
      </w:r>
      <w:r>
        <w:rPr>
          <w:rFonts w:hint="eastAsia" w:ascii="仿宋_GB2312" w:hAnsi="仿宋_GB2312" w:cs="仿宋_GB2312"/>
          <w:color w:val="000000"/>
          <w:kern w:val="0"/>
          <w:sz w:val="16"/>
          <w:szCs w:val="16"/>
        </w:rPr>
        <w:t>带[</w:t>
      </w:r>
      <w:r>
        <w:rPr>
          <w:rFonts w:ascii="仿宋_GB2312" w:hAnsi="仿宋_GB2312" w:cs="仿宋_GB2312"/>
          <w:color w:val="000000"/>
          <w:kern w:val="0"/>
          <w:sz w:val="16"/>
          <w:szCs w:val="16"/>
        </w:rPr>
        <w:t>]</w:t>
      </w:r>
      <w:r>
        <w:rPr>
          <w:rFonts w:hint="eastAsia" w:ascii="仿宋_GB2312" w:hAnsi="仿宋_GB2312" w:cs="仿宋_GB2312"/>
          <w:color w:val="000000"/>
          <w:kern w:val="0"/>
          <w:sz w:val="16"/>
          <w:szCs w:val="16"/>
        </w:rPr>
        <w:t>的数据为五年累计数</w:t>
      </w:r>
      <w:r>
        <w:rPr>
          <w:rFonts w:hint="eastAsia" w:ascii="仿宋_GB2312" w:hAnsi="仿宋_GB2312" w:cs="仿宋_GB2312"/>
          <w:color w:val="000000"/>
          <w:kern w:val="0"/>
          <w:sz w:val="16"/>
          <w:szCs w:val="16"/>
          <w:lang w:eastAsia="zh-CN"/>
        </w:rPr>
        <w:t>。</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60" w:name="_Toc61117337"/>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第二节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新发展阶段面临的新机遇新挑战</w:t>
      </w:r>
      <w:bookmarkEnd w:id="48"/>
      <w:bookmarkEnd w:id="49"/>
      <w:bookmarkEnd w:id="50"/>
      <w:bookmarkEnd w:id="51"/>
      <w:bookmarkEnd w:id="52"/>
      <w:bookmarkEnd w:id="53"/>
      <w:bookmarkEnd w:id="54"/>
      <w:bookmarkEnd w:id="55"/>
      <w:bookmarkEnd w:id="56"/>
      <w:bookmarkEnd w:id="57"/>
      <w:bookmarkEnd w:id="58"/>
      <w:bookmarkEnd w:id="59"/>
      <w:bookmarkEnd w:id="60"/>
    </w:p>
    <w:p>
      <w:pPr>
        <w:pageBreakBefore w:val="0"/>
        <w:widowControl w:val="0"/>
        <w:kinsoku/>
        <w:wordWrap/>
        <w:overflowPunct/>
        <w:topLinePunct w:val="0"/>
        <w:autoSpaceDE/>
        <w:autoSpaceDN/>
        <w:bidi w:val="0"/>
        <w:adjustRightInd/>
        <w:snapToGrid/>
        <w:spacing w:line="600" w:lineRule="exact"/>
        <w:ind w:firstLine="600"/>
        <w:textAlignment w:val="auto"/>
        <w:rPr>
          <w:rFonts w:hint="eastAsia" w:ascii="仿宋_GB2312" w:hAnsi="仿宋_GB2312" w:cs="仿宋_GB2312"/>
          <w:szCs w:val="30"/>
        </w:rPr>
      </w:pPr>
    </w:p>
    <w:p>
      <w:pPr>
        <w:pageBreakBefore w:val="0"/>
        <w:widowControl w:val="0"/>
        <w:kinsoku/>
        <w:wordWrap/>
        <w:overflowPunct/>
        <w:topLinePunct w:val="0"/>
        <w:autoSpaceDE/>
        <w:autoSpaceDN/>
        <w:bidi w:val="0"/>
        <w:adjustRightInd/>
        <w:snapToGrid/>
        <w:spacing w:line="600" w:lineRule="exact"/>
        <w:ind w:firstLine="600"/>
        <w:textAlignment w:val="auto"/>
        <w:rPr>
          <w:rFonts w:ascii="仿宋_GB2312" w:cs="仿宋_GB2312"/>
          <w:szCs w:val="30"/>
        </w:rPr>
      </w:pPr>
      <w:r>
        <w:rPr>
          <w:rFonts w:hint="eastAsia" w:ascii="仿宋_GB2312" w:hAnsi="仿宋_GB2312" w:cs="仿宋_GB2312"/>
          <w:szCs w:val="30"/>
        </w:rPr>
        <w:t>“十三五”时期，宁德干部群众大力发扬“滴水穿石”“弱鸟先飞”的闽东精神，接续奋斗、苦干实干，把当年“老少边岛贫”地区，打造成为如今全省的新增长极。</w:t>
      </w:r>
      <w:r>
        <w:rPr>
          <w:rFonts w:hint="eastAsia"/>
          <w:szCs w:val="30"/>
        </w:rPr>
        <w:t>“十四五”时期，外部环境发生复杂而深刻的变化，</w:t>
      </w:r>
      <w:r>
        <w:rPr>
          <w:rFonts w:hint="eastAsia" w:ascii="仿宋_GB2312" w:hAnsi="仿宋_GB2312" w:cs="仿宋_GB2312"/>
          <w:szCs w:val="30"/>
        </w:rPr>
        <w:t>随着我国进入新发展阶段，宁德也面临新的机遇和挑战。</w:t>
      </w:r>
    </w:p>
    <w:p>
      <w:pPr>
        <w:keepNext/>
        <w:keepLines/>
        <w:pageBreakBefore w:val="0"/>
        <w:widowControl w:val="0"/>
        <w:kinsoku/>
        <w:wordWrap/>
        <w:overflowPunct/>
        <w:topLinePunct w:val="0"/>
        <w:autoSpaceDE/>
        <w:autoSpaceDN/>
        <w:bidi w:val="0"/>
        <w:adjustRightInd/>
        <w:snapToGrid/>
        <w:spacing w:line="600" w:lineRule="exact"/>
        <w:ind w:firstLine="602"/>
        <w:textAlignment w:val="auto"/>
        <w:outlineLvl w:val="2"/>
        <w:rPr>
          <w:b/>
          <w:bCs/>
          <w:szCs w:val="32"/>
        </w:rPr>
      </w:pPr>
      <w:r>
        <w:rPr>
          <w:rFonts w:hint="eastAsia"/>
          <w:b/>
          <w:bCs/>
          <w:szCs w:val="32"/>
        </w:rPr>
        <w:t>一、发展机遇</w:t>
      </w:r>
    </w:p>
    <w:p>
      <w:pPr>
        <w:pageBreakBefore w:val="0"/>
        <w:widowControl w:val="0"/>
        <w:kinsoku/>
        <w:wordWrap/>
        <w:overflowPunct/>
        <w:topLinePunct w:val="0"/>
        <w:autoSpaceDE/>
        <w:autoSpaceDN/>
        <w:bidi w:val="0"/>
        <w:adjustRightInd/>
        <w:snapToGrid/>
        <w:spacing w:line="600" w:lineRule="exact"/>
        <w:ind w:firstLine="602"/>
        <w:textAlignment w:val="auto"/>
      </w:pPr>
      <w:r>
        <w:rPr>
          <w:b/>
          <w:bCs/>
        </w:rPr>
        <w:t>——</w:t>
      </w:r>
      <w:r>
        <w:rPr>
          <w:rFonts w:hint="eastAsia"/>
          <w:b/>
          <w:bCs/>
        </w:rPr>
        <w:t>全球新一轮科技革命和产业变革深入发展，为宁德提升产业链、供应链竞争力提供战略机遇。</w:t>
      </w:r>
      <w:r>
        <w:rPr>
          <w:rFonts w:hint="eastAsia"/>
        </w:rPr>
        <w:t>新一轮科技革命和产业变革正在重构全球产业链、供应链、创新链、价值链，新冠肺炎疫情全球流行带来巨大变量，催生大量新产业、新业态、新模式，为宁德积极参与全球产业链、供应链重构，抢占新兴产业发展制高点提供了战略机遇。</w:t>
      </w:r>
    </w:p>
    <w:p>
      <w:pPr>
        <w:pageBreakBefore w:val="0"/>
        <w:widowControl w:val="0"/>
        <w:kinsoku/>
        <w:wordWrap/>
        <w:overflowPunct/>
        <w:topLinePunct w:val="0"/>
        <w:autoSpaceDE/>
        <w:autoSpaceDN/>
        <w:bidi w:val="0"/>
        <w:adjustRightInd/>
        <w:snapToGrid/>
        <w:spacing w:line="600" w:lineRule="exact"/>
        <w:ind w:firstLine="602"/>
        <w:textAlignment w:val="auto"/>
      </w:pPr>
      <w:r>
        <w:rPr>
          <w:b/>
          <w:bCs/>
        </w:rPr>
        <w:t>——</w:t>
      </w:r>
      <w:r>
        <w:rPr>
          <w:rFonts w:hint="eastAsia"/>
          <w:b/>
          <w:bCs/>
        </w:rPr>
        <w:t>我国加快构建新发展格局，为宁德经济发展迈向更大舞台提供重要支撑。</w:t>
      </w:r>
      <w:r>
        <w:rPr>
          <w:rFonts w:hint="eastAsia"/>
        </w:rPr>
        <w:t>加快构建以国内大循环为主体、国内国际双循环相互促进的新发展格局，将加快培育完整内需体系，形成新能源汽车等超大规模国内市场，有利于宁德推动质量变革、效率变革、动力变革，提升“宁德制造”与国内需求的适配性，支撑宁德经济发展迈向更大舞台。</w:t>
      </w:r>
    </w:p>
    <w:p>
      <w:pPr>
        <w:pageBreakBefore w:val="0"/>
        <w:widowControl w:val="0"/>
        <w:kinsoku/>
        <w:wordWrap/>
        <w:overflowPunct/>
        <w:topLinePunct w:val="0"/>
        <w:autoSpaceDE/>
        <w:autoSpaceDN/>
        <w:bidi w:val="0"/>
        <w:adjustRightInd/>
        <w:snapToGrid/>
        <w:spacing w:line="600" w:lineRule="exact"/>
        <w:ind w:firstLine="602"/>
        <w:textAlignment w:val="auto"/>
      </w:pPr>
      <w:r>
        <w:rPr>
          <w:b/>
          <w:bCs/>
        </w:rPr>
        <w:t>——</w:t>
      </w:r>
      <w:r>
        <w:rPr>
          <w:rFonts w:hint="eastAsia"/>
          <w:b/>
          <w:bCs/>
        </w:rPr>
        <w:t>福建省凝心聚力全方位推动高质量发展超越，为宁德实现接续超越注入强大发展动力。</w:t>
      </w:r>
      <w:r>
        <w:rPr>
          <w:rFonts w:hint="eastAsia"/>
        </w:rPr>
        <w:t>中央赋予福建全方位推动高质量发展超越的新目标新定位，各种积极因素加速集聚，有利于宁德借助主导产业生态圈和“强磁场”效应，打造具有全球竞争力的产业集群，成为全省全方位推动高质量发展超越的新增长极，为宁德实现接续赶超、跃升晋位提供强大发展动力。</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宁德主导产业持续崛起带来强力动能。</w:t>
      </w:r>
      <w:r>
        <w:rPr>
          <w:rFonts w:hint="eastAsia"/>
        </w:rPr>
        <w:t>围绕碳达峰、碳中和的目标，国家加快推进能源革命，宁德新能源产业发展将迎来重大利好，将进入重大战略机遇期。四大主导产业集聚裂变、产业能级持续提升、新业态新模式加速孕育，释放出巨大发展潜能，宁德将进入产业发展爆发期。同时，“开发三都澳”这一全市凝共识、聚合力的核心战略加快实施，促进高端要素向三都澳湾区集聚，产业发展良好态势和发展惯性将得到很好延续，宁德将进入跨越发展窗口期。</w:t>
      </w:r>
    </w:p>
    <w:p>
      <w:pPr>
        <w:keepNext/>
        <w:keepLines/>
        <w:pageBreakBefore w:val="0"/>
        <w:widowControl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二、面临挑战</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外部挑战和不确定性加大。</w:t>
      </w:r>
      <w:r>
        <w:rPr>
          <w:rFonts w:hint="eastAsia"/>
        </w:rPr>
        <w:t>世界百年未有之大变局深度演化，新冠肺炎疫情对全球经济影响广泛深远，经济全球化遭遇逆流，保护主义、单边主义上升，外部环境更加复杂、不确定，应对风险挑战压力加大。</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创新研发能力仍较薄弱。</w:t>
      </w:r>
      <w:r>
        <w:rPr>
          <w:rFonts w:hint="eastAsia"/>
        </w:rPr>
        <w:t>高校、科研院所短板突出，高端创新性人才不足，科技服务体系不健全，整体创新能力较弱，与支撑行业技术研发水平领先全球、产业迭代升级和产业生态孕育的要求还有较大差距。</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区域经济竞争日益加剧。</w:t>
      </w:r>
      <w:r>
        <w:rPr>
          <w:rFonts w:hint="eastAsia"/>
        </w:rPr>
        <w:t>环三都澳湾区综合实力不强，沿海山区发展不平衡，在与福州、厦门、温州等周边发达地区激烈竞争中处于劣势，面临较大的人才、资源、资金等竞争以及主导产业外流的压力。</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要素环境制约更加明显。</w:t>
      </w:r>
      <w:r>
        <w:rPr>
          <w:rFonts w:hint="eastAsia"/>
        </w:rPr>
        <w:t>随着宁德工业化和城市化的快速推进，面临国家围填海严管严控政策影响，以及林地、湿地、耕地等生态红线划定和保护对宁德经济发展提出了更高的要求，发展空间受到较大限制。</w:t>
      </w:r>
    </w:p>
    <w:p>
      <w:pPr>
        <w:pageBreakBefore w:val="0"/>
        <w:widowControl w:val="0"/>
        <w:kinsoku/>
        <w:wordWrap/>
        <w:overflowPunct/>
        <w:topLinePunct w:val="0"/>
        <w:autoSpaceDE/>
        <w:autoSpaceDN/>
        <w:bidi w:val="0"/>
        <w:spacing w:line="600" w:lineRule="exact"/>
        <w:ind w:firstLine="600"/>
        <w:textAlignment w:val="auto"/>
      </w:pPr>
      <w:r>
        <w:rPr>
          <w:rFonts w:hint="eastAsia"/>
        </w:rPr>
        <w:t>综合分析，“十四五”时期宁德将进入优势充分释放、全面加速越位赶超的新发展阶段，全市上下要树牢弱鸟先飞的追赶意识，拿出只争朝夕的干劲，保持滴水穿石的韧劲，接续奋斗、苦干实干，奋力谱写全面建设社会主义现代化国家的宁德篇章。</w:t>
      </w:r>
    </w:p>
    <w:p>
      <w:pPr>
        <w:pStyle w:val="4"/>
        <w:pageBreakBefore w:val="0"/>
        <w:widowControl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61" w:name="_Toc61117338"/>
      <w:bookmarkStart w:id="62" w:name="_Toc8546"/>
      <w:bookmarkStart w:id="63" w:name="_Toc21107"/>
      <w:bookmarkStart w:id="64" w:name="_Toc3213"/>
      <w:bookmarkStart w:id="65" w:name="_Toc26942"/>
      <w:bookmarkStart w:id="66" w:name="_Toc28717"/>
      <w:bookmarkStart w:id="67" w:name="_Toc22914"/>
      <w:bookmarkStart w:id="68" w:name="_Toc58779700"/>
      <w:bookmarkStart w:id="69" w:name="_Toc56970407"/>
      <w:bookmarkStart w:id="70" w:name="_Toc16988"/>
      <w:bookmarkStart w:id="71" w:name="_Toc23647"/>
      <w:bookmarkStart w:id="72" w:name="_Toc16849"/>
      <w:bookmarkStart w:id="73" w:name="_Toc13482"/>
      <w:bookmarkStart w:id="74" w:name="_Toc14287"/>
      <w:bookmarkStart w:id="75" w:name="_Toc58194542"/>
      <w:bookmarkStart w:id="76" w:name="_Toc20866"/>
      <w:bookmarkStart w:id="77" w:name="_Toc56970408"/>
      <w:bookmarkStart w:id="78" w:name="_Toc55722871"/>
    </w:p>
    <w:p>
      <w:pPr>
        <w:pStyle w:val="4"/>
        <w:pageBreakBefore w:val="0"/>
        <w:widowControl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第三节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指导思想</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pPr>
        <w:pageBreakBefore w:val="0"/>
        <w:widowControl w:val="0"/>
        <w:kinsoku/>
        <w:wordWrap/>
        <w:overflowPunct/>
        <w:topLinePunct w:val="0"/>
        <w:autoSpaceDE/>
        <w:autoSpaceDN/>
        <w:bidi w:val="0"/>
        <w:spacing w:line="600" w:lineRule="exact"/>
        <w:ind w:firstLine="600"/>
        <w:textAlignment w:val="auto"/>
        <w:rPr>
          <w:rFonts w:hint="eastAsia"/>
        </w:rPr>
      </w:pPr>
    </w:p>
    <w:p>
      <w:pPr>
        <w:pageBreakBefore w:val="0"/>
        <w:widowControl w:val="0"/>
        <w:kinsoku/>
        <w:wordWrap/>
        <w:overflowPunct/>
        <w:topLinePunct w:val="0"/>
        <w:autoSpaceDE/>
        <w:autoSpaceDN/>
        <w:bidi w:val="0"/>
        <w:spacing w:line="600" w:lineRule="exact"/>
        <w:ind w:firstLine="600"/>
        <w:textAlignment w:val="auto"/>
      </w:pPr>
      <w:r>
        <w:rPr>
          <w:rFonts w:hint="eastAsia"/>
        </w:rPr>
        <w:t>高举习近平新时代中国特色社会主义思想伟大旗帜，深入学习贯彻习近平总书记重要讲话重要指示批示精神，深入贯彻党的十九大和十九届二中、三中、四中、五中全会精神，全面贯彻党的基本理论、基本路线、基本方略，紧紧围绕统筹推进“五位一体”总体布局和协调推进“四个全面”战略布局，增强“四个意识”、坚定“四个自信”、做到“两个维护”，坚持新发展理念，以全方位推动高质量发展超越为主题，以深化供给侧结构性改革为主线，以改革创新为根本动力，以满足人民日益增长的美好生活需要为根本</w:t>
      </w:r>
      <w:r>
        <w:rPr>
          <w:rFonts w:hint="eastAsia"/>
          <w:szCs w:val="30"/>
        </w:rPr>
        <w:t>目的，</w:t>
      </w:r>
      <w:r>
        <w:rPr>
          <w:rFonts w:hint="eastAsia"/>
          <w:szCs w:val="30"/>
          <w:lang w:eastAsia="zh-CN"/>
        </w:rPr>
        <w:t>积极</w:t>
      </w:r>
      <w:r>
        <w:rPr>
          <w:rFonts w:hint="eastAsia"/>
          <w:szCs w:val="30"/>
        </w:rPr>
        <w:t>服务并融入新发展格局，统筹发展和安全，</w:t>
      </w:r>
      <w:r>
        <w:rPr>
          <w:rFonts w:hint="eastAsia"/>
        </w:rPr>
        <w:t>深</w:t>
      </w:r>
      <w:r>
        <w:rPr>
          <w:rFonts w:hint="eastAsia"/>
          <w:szCs w:val="30"/>
        </w:rPr>
        <w:t>入实施“一二三”发展战略</w:t>
      </w:r>
      <w:r>
        <w:rPr>
          <w:rFonts w:hint="eastAsia"/>
        </w:rPr>
        <w:t>，</w:t>
      </w:r>
      <w:r>
        <w:rPr>
          <w:rFonts w:hint="eastAsia"/>
          <w:lang w:eastAsia="zh-CN"/>
        </w:rPr>
        <w:t>加快“五个城”建设，</w:t>
      </w:r>
      <w:r>
        <w:rPr>
          <w:rFonts w:hint="eastAsia"/>
        </w:rPr>
        <w:t>努力</w:t>
      </w:r>
      <w:r>
        <w:rPr>
          <w:rFonts w:hint="eastAsia" w:ascii="仿宋_GB2312" w:hAnsi="仿宋_GB2312" w:cs="仿宋_GB2312"/>
          <w:szCs w:val="30"/>
        </w:rPr>
        <w:t>在推动高质量发展上迈出新步伐，在增进民生福祉上取得新进展，在全面从严治党上展现新作为，</w:t>
      </w:r>
      <w:r>
        <w:rPr>
          <w:rFonts w:hint="eastAsia"/>
        </w:rPr>
        <w:t>奋力谱写全面建设社会主义现代化国家的宁德篇章</w:t>
      </w:r>
      <w:r>
        <w:rPr>
          <w:rFonts w:hint="eastAsia" w:ascii="仿宋_GB2312" w:hAnsi="仿宋_GB2312" w:cs="仿宋_GB2312"/>
          <w:szCs w:val="30"/>
        </w:rPr>
        <w:t>。</w:t>
      </w:r>
    </w:p>
    <w:p>
      <w:pPr>
        <w:pStyle w:val="4"/>
        <w:pageBreakBefore w:val="0"/>
        <w:widowControl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79" w:name="_Toc9035"/>
      <w:bookmarkStart w:id="80" w:name="_Toc21169"/>
      <w:bookmarkStart w:id="81" w:name="_Toc58779701"/>
      <w:bookmarkStart w:id="82" w:name="_Toc58194543"/>
      <w:bookmarkStart w:id="83" w:name="_Toc21957"/>
      <w:bookmarkStart w:id="84" w:name="_Toc11319"/>
      <w:bookmarkStart w:id="85" w:name="_Toc11382"/>
      <w:bookmarkStart w:id="86" w:name="_Toc61117339"/>
      <w:bookmarkStart w:id="87" w:name="_Toc31811"/>
      <w:bookmarkStart w:id="88" w:name="_Toc24128"/>
      <w:bookmarkStart w:id="89" w:name="_Toc18910"/>
      <w:bookmarkStart w:id="90" w:name="_Toc23855"/>
      <w:bookmarkStart w:id="91" w:name="_Toc27271"/>
      <w:bookmarkStart w:id="92" w:name="_Toc9878"/>
      <w:bookmarkStart w:id="93" w:name="_Toc6810"/>
    </w:p>
    <w:p>
      <w:pPr>
        <w:pStyle w:val="4"/>
        <w:pageBreakBefore w:val="0"/>
        <w:widowControl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第四节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基本原则</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pPr>
        <w:pageBreakBefore w:val="0"/>
        <w:widowControl w:val="0"/>
        <w:kinsoku/>
        <w:wordWrap/>
        <w:overflowPunct/>
        <w:topLinePunct w:val="0"/>
        <w:autoSpaceDE/>
        <w:autoSpaceDN/>
        <w:bidi w:val="0"/>
        <w:spacing w:line="600" w:lineRule="exact"/>
        <w:ind w:firstLine="602"/>
        <w:textAlignment w:val="auto"/>
        <w:rPr>
          <w:b/>
          <w:bCs/>
        </w:rPr>
      </w:pP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坚持党的全面领导。</w:t>
      </w:r>
      <w:r>
        <w:rPr>
          <w:rFonts w:hint="eastAsia"/>
          <w:b/>
          <w:bCs/>
          <w:lang w:eastAsia="zh-CN"/>
        </w:rPr>
        <w:t>坚持和</w:t>
      </w:r>
      <w:r>
        <w:rPr>
          <w:rFonts w:hint="eastAsia"/>
        </w:rPr>
        <w:t>加强党对经济社会发展的全面领导，落细落实习近平总书记重要讲话重要指示批示精神，不断提高贯彻新发展理念、服务新发展格局能力和水平，为全方位推动高质量发展超越、奋力谱写全面建设社会主义现代化国家的宁德篇章提供根本保证。</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坚持以人民为中心。</w:t>
      </w:r>
      <w:r>
        <w:rPr>
          <w:rFonts w:hint="eastAsia"/>
        </w:rPr>
        <w:t>突出人民主体地位，始终把人民对美好生活的向往作为奋斗目标，坚持共同富裕方向，尽力而为、量力而行办好民生实事，持续增进民生福祉，不断增强人民群众的幸福感、获得感、安全感。</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坚持新发展理念。</w:t>
      </w:r>
      <w:r>
        <w:rPr>
          <w:rFonts w:hint="eastAsia"/>
        </w:rPr>
        <w:t>把新发展理念贯穿发展全过程和各领域，积极融入新发展格局，深化供给侧结构性改革，突出科技创新战略地位，扭住扩大内需战略基点，瞄准做实做优实体经济主攻方向，实现更高质量、更有效率、更加公平、更可持续、更为安全的发展。</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坚持深化改革开放。</w:t>
      </w:r>
      <w:r>
        <w:rPr>
          <w:rFonts w:hint="eastAsia"/>
        </w:rPr>
        <w:t>加强市域治理体系和治理能力现代化建设，以更大力度解放思想、更新观念，以更大决心破除制约高质量发展、高品质生活的体制机制障碍，以更大步伐扩大对外开放层次水平，持续释放改革红利，增强发展动力活力。</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坚持系统观念。</w:t>
      </w:r>
      <w:r>
        <w:rPr>
          <w:rFonts w:hint="eastAsia"/>
        </w:rPr>
        <w:t>加强对各领域发展的前瞻性思考、全局性谋划、战略性布局、整体性推进，融入全国全省大局找定位、谋作为，强化政策举措集成协同，着力固根基、扬优势、补短板、强弱项，全面协调推进社会主义现代化建设。</w:t>
      </w:r>
    </w:p>
    <w:p>
      <w:pPr>
        <w:pStyle w:val="4"/>
        <w:pageBreakBefore w:val="0"/>
        <w:widowControl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94" w:name="_Toc11841"/>
      <w:bookmarkStart w:id="95" w:name="_Toc23746"/>
      <w:bookmarkStart w:id="96" w:name="_Toc56970409"/>
      <w:bookmarkStart w:id="97" w:name="_Toc58779702"/>
      <w:bookmarkStart w:id="98" w:name="_Toc19582"/>
      <w:bookmarkStart w:id="99" w:name="_Toc61117340"/>
      <w:bookmarkStart w:id="100" w:name="_Toc5404"/>
      <w:bookmarkStart w:id="101" w:name="_Toc58194544"/>
      <w:bookmarkStart w:id="102" w:name="_Toc14735"/>
      <w:bookmarkStart w:id="103" w:name="_Toc9205"/>
      <w:bookmarkStart w:id="104" w:name="_Toc1982"/>
      <w:bookmarkStart w:id="105" w:name="_Toc12875"/>
      <w:bookmarkStart w:id="106" w:name="_Toc11717"/>
      <w:bookmarkStart w:id="107" w:name="_Toc23871"/>
      <w:bookmarkStart w:id="108" w:name="_Toc7524"/>
      <w:bookmarkStart w:id="109" w:name="_Toc27330"/>
    </w:p>
    <w:p>
      <w:pPr>
        <w:pStyle w:val="4"/>
        <w:pageBreakBefore w:val="0"/>
        <w:widowControl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r>
        <w:rPr>
          <w:rFonts w:hint="eastAsia" w:ascii="楷体" w:hAnsi="楷体" w:eastAsia="楷体"/>
          <w:sz w:val="32"/>
          <w:szCs w:val="36"/>
        </w:rPr>
        <w:t>第五节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战略定位</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
      <w:pPr>
        <w:pageBreakBefore w:val="0"/>
        <w:widowControl w:val="0"/>
        <w:kinsoku/>
        <w:wordWrap/>
        <w:overflowPunct/>
        <w:topLinePunct w:val="0"/>
        <w:autoSpaceDE/>
        <w:autoSpaceDN/>
        <w:bidi w:val="0"/>
        <w:spacing w:line="600" w:lineRule="exact"/>
        <w:ind w:firstLine="600"/>
        <w:textAlignment w:val="auto"/>
      </w:pPr>
      <w:r>
        <w:rPr>
          <w:rFonts w:hint="eastAsia"/>
        </w:rPr>
        <w:t>“十四五”时期，宁德应坚持产业、港口、城市、山海、生态“五位一体”联动发展，以打造产业之城为战略支撑，以打造枢纽之城为战略基石，以打造新兴之城为战略重心，以打造山海之城为战略要求，以打造幸福之城为战略目标，建设全省全方位推动高质量发展超越的新增长极。</w:t>
      </w:r>
    </w:p>
    <w:p>
      <w:pPr>
        <w:pageBreakBefore w:val="0"/>
        <w:widowControl w:val="0"/>
        <w:kinsoku/>
        <w:wordWrap/>
        <w:overflowPunct/>
        <w:topLinePunct w:val="0"/>
        <w:autoSpaceDE/>
        <w:autoSpaceDN/>
        <w:bidi w:val="0"/>
        <w:spacing w:line="600" w:lineRule="exact"/>
        <w:ind w:firstLine="602"/>
        <w:textAlignment w:val="auto"/>
      </w:pPr>
      <w:bookmarkStart w:id="110" w:name="_Hlk55929927"/>
      <w:bookmarkStart w:id="111" w:name="_Hlk55929983"/>
      <w:r>
        <w:rPr>
          <w:b/>
          <w:bCs/>
        </w:rPr>
        <w:t>——</w:t>
      </w:r>
      <w:r>
        <w:rPr>
          <w:rFonts w:hint="eastAsia"/>
          <w:b/>
          <w:bCs/>
        </w:rPr>
        <w:t>全球知名的产业之城。</w:t>
      </w:r>
      <w:r>
        <w:t>以打造世界级产业地标、培育万亿级工业体量为目标，抓住四大主导产业蓬勃兴起的时代机遇，加快构建自主可控、安全可靠的现代产业体系，努力形成冲劲猛、韧劲好、后劲足的稳定增长质态，拉动全市经济在高质量跑道上跨出大步伐</w:t>
      </w:r>
      <w:r>
        <w:rPr>
          <w:rFonts w:hint="eastAsia"/>
        </w:rPr>
        <w:t>。</w:t>
      </w:r>
    </w:p>
    <w:bookmarkEnd w:id="110"/>
    <w:p>
      <w:pPr>
        <w:pageBreakBefore w:val="0"/>
        <w:widowControl w:val="0"/>
        <w:kinsoku/>
        <w:wordWrap/>
        <w:overflowPunct/>
        <w:topLinePunct w:val="0"/>
        <w:autoSpaceDE/>
        <w:autoSpaceDN/>
        <w:bidi w:val="0"/>
        <w:spacing w:line="600" w:lineRule="exact"/>
        <w:ind w:firstLine="602"/>
        <w:textAlignment w:val="auto"/>
        <w:rPr>
          <w:b/>
          <w:bCs/>
        </w:rPr>
      </w:pPr>
      <w:r>
        <w:rPr>
          <w:b/>
          <w:bCs/>
        </w:rPr>
        <w:t>——</w:t>
      </w:r>
      <w:r>
        <w:rPr>
          <w:rFonts w:hint="eastAsia"/>
          <w:b/>
          <w:bCs/>
        </w:rPr>
        <w:t>开放便捷的枢纽之城。</w:t>
      </w:r>
      <w:r>
        <w:t>立足宁德区位优势，不断完善立体交通网络体系，构建服务临港产业发展和链接闽东北、浙西南及内陆省份物资集散的陆海联运枢纽大港，并依托主导产业的国际竞争力，着力打造国内大循环的重要节点、国内国际双循环的重要通道。</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环湾一体的新兴之城。</w:t>
      </w:r>
      <w:r>
        <w:t>坚持以三都澳为核心，以主导产业为纽带，</w:t>
      </w:r>
      <w:r>
        <w:rPr>
          <w:rFonts w:hint="eastAsia"/>
        </w:rPr>
        <w:t>统筹</w:t>
      </w:r>
      <w:r>
        <w:t>中心城区与沿海县（市、区）的功能定位和产业布局，着力打造产业集聚、科技密集、交通汇聚、城市群集的现代化大湾区。中心城区围绕“一市多区”构想，加快推进国土空间规划调整，健全完善区域之间高效互联互通的交通网络，不断提升首位度和影响力。</w:t>
      </w:r>
    </w:p>
    <w:p>
      <w:pPr>
        <w:pageBreakBefore w:val="0"/>
        <w:widowControl w:val="0"/>
        <w:kinsoku/>
        <w:wordWrap/>
        <w:overflowPunct/>
        <w:topLinePunct w:val="0"/>
        <w:autoSpaceDE/>
        <w:autoSpaceDN/>
        <w:bidi w:val="0"/>
        <w:spacing w:line="600" w:lineRule="exact"/>
        <w:ind w:firstLine="602"/>
        <w:textAlignment w:val="auto"/>
        <w:rPr>
          <w:color w:val="000000"/>
          <w:shd w:val="clear" w:color="auto" w:fill="FFFFFF"/>
        </w:rPr>
      </w:pPr>
      <w:r>
        <w:rPr>
          <w:b/>
          <w:bCs/>
        </w:rPr>
        <w:t>——</w:t>
      </w:r>
      <w:r>
        <w:rPr>
          <w:rFonts w:hint="eastAsia"/>
          <w:b/>
          <w:bCs/>
        </w:rPr>
        <w:t>协</w:t>
      </w:r>
      <w:r>
        <w:rPr>
          <w:rFonts w:hint="eastAsia"/>
          <w:b/>
          <w:bCs/>
          <w:lang w:eastAsia="zh-CN"/>
        </w:rPr>
        <w:t>同</w:t>
      </w:r>
      <w:r>
        <w:rPr>
          <w:rFonts w:hint="eastAsia"/>
          <w:b/>
          <w:bCs/>
        </w:rPr>
        <w:t>联动的山海之城。</w:t>
      </w:r>
      <w:r>
        <w:rPr>
          <w:color w:val="000000"/>
          <w:shd w:val="clear" w:color="auto" w:fill="FFFFFF"/>
        </w:rPr>
        <w:t>牢固树立“一盘棋”思想，念好新时代“山海经”，</w:t>
      </w:r>
      <w:r>
        <w:rPr>
          <w:rFonts w:hint="eastAsia"/>
          <w:color w:val="000000"/>
          <w:shd w:val="clear" w:color="auto" w:fill="FFFFFF"/>
        </w:rPr>
        <w:t>加速实现沿海山区基础设施互联互通</w:t>
      </w:r>
      <w:r>
        <w:rPr>
          <w:color w:val="000000"/>
          <w:shd w:val="clear" w:color="auto" w:fill="FFFFFF"/>
        </w:rPr>
        <w:t>、</w:t>
      </w:r>
      <w:r>
        <w:rPr>
          <w:rFonts w:hint="eastAsia"/>
          <w:color w:val="000000"/>
          <w:shd w:val="clear" w:color="auto" w:fill="FFFFFF"/>
        </w:rPr>
        <w:t>主导产业全域布局、民生事业共建共享，</w:t>
      </w:r>
      <w:r>
        <w:rPr>
          <w:color w:val="000000"/>
          <w:shd w:val="clear" w:color="auto" w:fill="FFFFFF"/>
        </w:rPr>
        <w:t>进一步形成区域统筹、城乡一体、乡村振兴发展的新格局</w:t>
      </w:r>
      <w:r>
        <w:rPr>
          <w:rFonts w:hint="eastAsia"/>
          <w:color w:val="000000"/>
          <w:shd w:val="clear" w:color="auto" w:fill="FFFFFF"/>
        </w:rPr>
        <w:t>。</w:t>
      </w:r>
    </w:p>
    <w:p>
      <w:pPr>
        <w:pageBreakBefore w:val="0"/>
        <w:widowControl w:val="0"/>
        <w:kinsoku/>
        <w:wordWrap/>
        <w:overflowPunct/>
        <w:topLinePunct w:val="0"/>
        <w:autoSpaceDE/>
        <w:autoSpaceDN/>
        <w:bidi w:val="0"/>
        <w:spacing w:line="600" w:lineRule="exact"/>
        <w:ind w:firstLine="602"/>
        <w:textAlignment w:val="auto"/>
        <w:rPr>
          <w:rFonts w:hint="eastAsia"/>
        </w:rPr>
      </w:pPr>
      <w:r>
        <w:rPr>
          <w:b/>
          <w:bCs/>
        </w:rPr>
        <w:t>——</w:t>
      </w:r>
      <w:r>
        <w:rPr>
          <w:rFonts w:hint="eastAsia"/>
          <w:b/>
          <w:bCs/>
        </w:rPr>
        <w:t>生态宜居的幸福之城。</w:t>
      </w:r>
      <w:r>
        <w:t>牢固树立以人民为中心的发展思想，打好生态文明建设、补齐民生短板、办好为民实事等“组合拳”，不断提升居民的生活品质和质量，努力让人民群众享有更多的获得感幸福感安全感</w:t>
      </w:r>
      <w:r>
        <w:rPr>
          <w:rFonts w:hint="eastAsia"/>
        </w:rPr>
        <w:t>。</w:t>
      </w:r>
    </w:p>
    <w:p>
      <w:pPr>
        <w:pageBreakBefore w:val="0"/>
        <w:widowControl w:val="0"/>
        <w:kinsoku/>
        <w:wordWrap/>
        <w:overflowPunct/>
        <w:topLinePunct w:val="0"/>
        <w:autoSpaceDE/>
        <w:autoSpaceDN/>
        <w:bidi w:val="0"/>
        <w:spacing w:line="600" w:lineRule="exact"/>
        <w:ind w:firstLine="602"/>
        <w:textAlignment w:val="auto"/>
        <w:rPr>
          <w:rFonts w:hint="eastAsia"/>
        </w:rPr>
      </w:pPr>
    </w:p>
    <w:bookmarkEnd w:id="111"/>
    <w:p>
      <w:pPr>
        <w:pStyle w:val="4"/>
        <w:pageBreakBefore w:val="0"/>
        <w:widowControl w:val="0"/>
        <w:numPr>
          <w:ilvl w:val="0"/>
          <w:numId w:val="1"/>
        </w:numPr>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112" w:name="_Toc58194545"/>
      <w:bookmarkStart w:id="113" w:name="_Toc58779703"/>
      <w:bookmarkStart w:id="114" w:name="_Toc56970410"/>
      <w:bookmarkStart w:id="115" w:name="_Toc61117341"/>
      <w:bookmarkStart w:id="116" w:name="_Toc30718"/>
      <w:bookmarkStart w:id="117" w:name="_Toc12590"/>
      <w:bookmarkStart w:id="118" w:name="_Toc31992"/>
      <w:bookmarkStart w:id="119" w:name="_Toc1128"/>
      <w:bookmarkStart w:id="120" w:name="_Toc14226"/>
      <w:bookmarkStart w:id="121" w:name="_Toc12598"/>
      <w:bookmarkStart w:id="122" w:name="_Toc2353"/>
      <w:bookmarkStart w:id="123" w:name="_Toc31188"/>
      <w:bookmarkStart w:id="124" w:name="_Toc5609"/>
      <w:bookmarkStart w:id="125" w:name="_Toc27223"/>
      <w:bookmarkStart w:id="126" w:name="_Toc21364"/>
      <w:bookmarkStart w:id="127" w:name="_Toc15204"/>
      <w:r>
        <w:rPr>
          <w:rFonts w:hint="eastAsia" w:ascii="楷体" w:hAnsi="楷体" w:eastAsia="楷体"/>
          <w:sz w:val="32"/>
          <w:szCs w:val="36"/>
          <w:lang w:val="en-US" w:eastAsia="zh-CN"/>
        </w:rPr>
        <w:t xml:space="preserve"> </w:t>
      </w:r>
      <w:r>
        <w:rPr>
          <w:rFonts w:hint="eastAsia" w:ascii="楷体" w:hAnsi="楷体" w:eastAsia="楷体"/>
          <w:sz w:val="32"/>
          <w:szCs w:val="36"/>
        </w:rPr>
        <w:t>发展目标</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pPr>
        <w:numPr>
          <w:ilvl w:val="0"/>
          <w:numId w:val="0"/>
        </w:numPr>
      </w:pPr>
    </w:p>
    <w:p>
      <w:pPr>
        <w:pageBreakBefore w:val="0"/>
        <w:widowControl w:val="0"/>
        <w:kinsoku/>
        <w:wordWrap/>
        <w:overflowPunct/>
        <w:topLinePunct w:val="0"/>
        <w:autoSpaceDE/>
        <w:autoSpaceDN/>
        <w:bidi w:val="0"/>
        <w:spacing w:line="600" w:lineRule="exact"/>
        <w:ind w:firstLine="602"/>
        <w:textAlignment w:val="auto"/>
      </w:pPr>
      <w:r>
        <w:rPr>
          <w:rFonts w:hint="eastAsia"/>
          <w:b/>
          <w:bCs/>
        </w:rPr>
        <w:t>到二○三五年基本实现社会主义现代化和全方位高质量发展超越的远景目标。</w:t>
      </w:r>
      <w:r>
        <w:rPr>
          <w:rFonts w:hint="eastAsia"/>
        </w:rPr>
        <w:t>到二○三五年，我市基本实现全方位高质量发展超越，谱写出全面建设社会主义现代化国家的宁德篇章。经济实力、科技实力、综合竞争力大幅跃升，经济总量迈上新台阶，基本实现新型工业化、信息化、城镇化、农业现代化</w:t>
      </w:r>
      <w:r>
        <w:rPr>
          <w:rFonts w:hint="eastAsia"/>
          <w:lang w:val="en-US" w:eastAsia="zh-CN"/>
        </w:rPr>
        <w:t>；</w:t>
      </w:r>
      <w:r>
        <w:rPr>
          <w:rFonts w:hint="eastAsia"/>
        </w:rPr>
        <w:t>区域创新能力显著提升，全面建成创新型宁德，成为全球领先的新能源新材料科技创新高地</w:t>
      </w:r>
      <w:r>
        <w:rPr>
          <w:rFonts w:hint="eastAsia"/>
          <w:lang w:val="en-US" w:eastAsia="zh-CN"/>
        </w:rPr>
        <w:t>；</w:t>
      </w:r>
      <w:r>
        <w:rPr>
          <w:rFonts w:hint="eastAsia"/>
        </w:rPr>
        <w:t>产业结构全面优化，产业发展质量效益大幅跃升，建成现代产业体系，新能源新材料产业全球领跑地位更加稳固</w:t>
      </w:r>
      <w:r>
        <w:rPr>
          <w:rFonts w:hint="eastAsia"/>
          <w:lang w:val="en-US" w:eastAsia="zh-CN"/>
        </w:rPr>
        <w:t>；</w:t>
      </w:r>
      <w:r>
        <w:rPr>
          <w:rFonts w:hint="eastAsia"/>
        </w:rPr>
        <w:t>中心城市能级大幅跃升，基本建成现代化城市</w:t>
      </w:r>
      <w:r>
        <w:rPr>
          <w:rFonts w:hint="eastAsia"/>
          <w:lang w:val="en-US" w:eastAsia="zh-CN"/>
        </w:rPr>
        <w:t>；</w:t>
      </w:r>
      <w:r>
        <w:rPr>
          <w:rFonts w:hint="eastAsia"/>
        </w:rPr>
        <w:t>对外开放形成新格局，现代化综合交通体系和现代流通体系基本建成，市场化法治化国际化营商环境全面形成，成为服务并融入新发展格局的重要节点、重要通道和重要力量</w:t>
      </w:r>
      <w:r>
        <w:rPr>
          <w:rFonts w:hint="eastAsia"/>
          <w:lang w:val="en-US" w:eastAsia="zh-CN"/>
        </w:rPr>
        <w:t>；</w:t>
      </w:r>
      <w:r>
        <w:rPr>
          <w:rFonts w:hint="eastAsia"/>
        </w:rPr>
        <w:t>基本实现市域治理体系和治理能力现代化，建成法治宁德、法治政府、法治社会；基本建成生态宜居的美丽宁德，实现人与自然和谐共生</w:t>
      </w:r>
      <w:r>
        <w:rPr>
          <w:rFonts w:hint="eastAsia"/>
          <w:lang w:val="en-US" w:eastAsia="zh-CN"/>
        </w:rPr>
        <w:t>；</w:t>
      </w:r>
      <w:r>
        <w:rPr>
          <w:rFonts w:hint="eastAsia"/>
        </w:rPr>
        <w:t>市民素质和社会文明程度达到新高度，建成文化强市、教育强市、人才强市、体育强市、健康宁德</w:t>
      </w:r>
      <w:r>
        <w:rPr>
          <w:rFonts w:hint="eastAsia"/>
          <w:lang w:val="en-US" w:eastAsia="zh-CN"/>
        </w:rPr>
        <w:t>；</w:t>
      </w:r>
      <w:r>
        <w:rPr>
          <w:rFonts w:hint="eastAsia"/>
        </w:rPr>
        <w:t>居民收入达到高收入经济体水平，人民生活品质显著改善，城乡区域发展差距明显缩小，基本公共服务实现均等化，平安宁德建设达到更高水平，人的全面发展、全体人民共同富裕取得更为明显的实质性进展。</w:t>
      </w:r>
    </w:p>
    <w:p>
      <w:pPr>
        <w:pageBreakBefore w:val="0"/>
        <w:widowControl w:val="0"/>
        <w:kinsoku/>
        <w:wordWrap/>
        <w:overflowPunct/>
        <w:topLinePunct w:val="0"/>
        <w:autoSpaceDE/>
        <w:autoSpaceDN/>
        <w:bidi w:val="0"/>
        <w:spacing w:line="600" w:lineRule="exact"/>
        <w:ind w:firstLine="602"/>
        <w:textAlignment w:val="auto"/>
      </w:pPr>
      <w:r>
        <w:rPr>
          <w:rFonts w:hint="eastAsia"/>
          <w:b/>
          <w:bCs/>
        </w:rPr>
        <w:t>“十四五”时期经济社会发展的主要目标。</w:t>
      </w:r>
      <w:r>
        <w:rPr>
          <w:rFonts w:hint="eastAsia"/>
        </w:rPr>
        <w:t>锚定二○三五年远景目标，综合考虑宁德发展基础条件、阶段特征、机遇挑战等各方面因素，着眼全方位推动高质量发展超越迈出重要步伐，为谱写全面建设社会主义现代化国家的宁德篇章奠定坚实基础，今后五年经济社会发展要努力实现以下目标。</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经济实力迈上新台阶。</w:t>
      </w:r>
      <w:r>
        <w:rPr>
          <w:rFonts w:hint="eastAsia" w:ascii="仿宋_GB2312"/>
        </w:rPr>
        <w:t>经济质量效益明显提升，经济增长潜力充分发挥，经济结构更加优化，具有宁德特色的现代化经济体系建设取得重要进展，高质量发展迈出新步伐。地区生产总值年均增长9%左右，经济总量突破4500亿元，力争较2020年翻一番，综合实力跃居全省中游水平。全市工业迈入“万亿时代”，建成全球领先的新能源新材料产业地标。</w:t>
      </w:r>
    </w:p>
    <w:p>
      <w:pPr>
        <w:pageBreakBefore w:val="0"/>
        <w:widowControl w:val="0"/>
        <w:kinsoku/>
        <w:wordWrap/>
        <w:overflowPunct/>
        <w:topLinePunct w:val="0"/>
        <w:autoSpaceDE/>
        <w:autoSpaceDN/>
        <w:bidi w:val="0"/>
        <w:spacing w:line="600" w:lineRule="exact"/>
        <w:ind w:firstLine="602"/>
        <w:textAlignment w:val="auto"/>
        <w:rPr>
          <w:bCs/>
        </w:rPr>
      </w:pPr>
      <w:r>
        <w:rPr>
          <w:b/>
          <w:bCs/>
        </w:rPr>
        <w:t>——</w:t>
      </w:r>
      <w:r>
        <w:rPr>
          <w:rFonts w:hint="eastAsia"/>
          <w:b/>
          <w:bCs/>
        </w:rPr>
        <w:t>改革开放迈出新步伐。</w:t>
      </w:r>
      <w:r>
        <w:rPr>
          <w:rFonts w:hint="eastAsia"/>
          <w:bCs/>
        </w:rPr>
        <w:t>基本建成智能化、多功能的亿吨级三都澳国际大港，打造智慧便捷的陆海联运枢纽，全面打通融入“一带一路”和海丝核心区的港口腹地通道。健全完善服务并融入新发展格局的工作机制，形成更高水平的开放型经济新体制。“放管服”等重点领域和关键环节改革取得显著成效，发展要素市场化改革取得突破性进展，高水平制度创新成果不断推出，营商环境走在全省前列。</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社会文明达到新高度。</w:t>
      </w:r>
      <w:r>
        <w:rPr>
          <w:rFonts w:hint="eastAsia"/>
        </w:rPr>
        <w:t>社会主义核心价值观深入人心，文明创建形成长效机制，市民文明素质和城市文明程度全面提升，全国文明城市顺利通过复评。公共文化服务体系更加健全，人民精神文化生活日益丰富，文化产业持续发展壮大，闽东文化品牌标识度愈加彰显，文化强市建设迈出更大步伐，“闽东之光”传播力、吸引力、影响力显著增强。</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生态建设彰显新魅力。</w:t>
      </w:r>
      <w:r>
        <w:rPr>
          <w:rFonts w:hint="eastAsia"/>
        </w:rPr>
        <w:t>生态文明制度体系更加完善，市域国土空间体系更加健全，绿色发展理念全面树牢，生产生活方式绿色转型成效显著。全域生态文明建设深入推进，城乡人居环境更加宜居宜人，生态美、环境美、城市美、乡村美、人文美成为普遍形态，环境质量稳定保持全省前列，生态优先、绿色发展成为“宁德样板”，力争创成国家生态文明建设示范市。</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城乡统筹翻开新篇章。</w:t>
      </w:r>
      <w:r>
        <w:rPr>
          <w:rFonts w:hint="eastAsia"/>
        </w:rPr>
        <w:t>中心城市扩容提质取得重大进展，环湾一体城市框架全面拉开，城市更新稳妥有序推进，“百平方公里级面积、百万级人口规模”区域中心城市初见雏形，中心城市功能品质和首位度大幅跃升。山海协同联动发展全面升级，城乡融合发展体制机制更加健全，以人为核心的新型城镇化全面推进。</w:t>
      </w:r>
    </w:p>
    <w:p>
      <w:pPr>
        <w:pStyle w:val="2"/>
        <w:pageBreakBefore w:val="0"/>
        <w:widowControl w:val="0"/>
        <w:kinsoku/>
        <w:wordWrap/>
        <w:overflowPunct/>
        <w:topLinePunct w:val="0"/>
        <w:autoSpaceDE/>
        <w:autoSpaceDN/>
        <w:bidi w:val="0"/>
        <w:spacing w:line="600" w:lineRule="exact"/>
        <w:ind w:firstLine="602"/>
        <w:textAlignment w:val="auto"/>
      </w:pPr>
      <w:r>
        <w:rPr>
          <w:b/>
          <w:bCs/>
          <w:sz w:val="30"/>
          <w:szCs w:val="30"/>
        </w:rPr>
        <w:t>——</w:t>
      </w:r>
      <w:r>
        <w:rPr>
          <w:rFonts w:hint="eastAsia"/>
          <w:b/>
          <w:bCs/>
          <w:sz w:val="30"/>
          <w:szCs w:val="30"/>
        </w:rPr>
        <w:t>民生福祉取得新提升。</w:t>
      </w:r>
      <w:r>
        <w:rPr>
          <w:rFonts w:hint="eastAsia"/>
          <w:sz w:val="30"/>
          <w:szCs w:val="21"/>
        </w:rPr>
        <w:t>脱贫成果巩固拓展，乡村振兴全面推进，产业薄弱村全面消除，探索形成具有闽东特色的乡村振兴之路。教育、医疗、养老、城乡基础设施等民生领域短板加快补齐，多层次社会保障体系更加健全，基本公共服务均等化水平稳步提高，重点群体增收计划全面实施，城乡居民收入年均增长</w:t>
      </w:r>
      <w:r>
        <w:rPr>
          <w:sz w:val="30"/>
          <w:szCs w:val="21"/>
        </w:rPr>
        <w:t>8.5%</w:t>
      </w:r>
      <w:r>
        <w:rPr>
          <w:rFonts w:hint="eastAsia"/>
          <w:sz w:val="30"/>
          <w:szCs w:val="21"/>
        </w:rPr>
        <w:t>以上，达到全省平均水平，人民群众生活更加幸福、更有品质。</w:t>
      </w:r>
    </w:p>
    <w:p>
      <w:pPr>
        <w:pageBreakBefore w:val="0"/>
        <w:widowControl w:val="0"/>
        <w:kinsoku/>
        <w:wordWrap/>
        <w:overflowPunct/>
        <w:topLinePunct w:val="0"/>
        <w:autoSpaceDE/>
        <w:autoSpaceDN/>
        <w:bidi w:val="0"/>
        <w:spacing w:line="600" w:lineRule="exact"/>
        <w:ind w:firstLine="602"/>
        <w:textAlignment w:val="auto"/>
      </w:pPr>
      <w:r>
        <w:rPr>
          <w:b/>
          <w:bCs/>
        </w:rPr>
        <w:t>——</w:t>
      </w:r>
      <w:r>
        <w:rPr>
          <w:rFonts w:hint="eastAsia"/>
          <w:b/>
          <w:bCs/>
        </w:rPr>
        <w:t>市域社会治理实现新进展。</w:t>
      </w:r>
      <w:r>
        <w:rPr>
          <w:rFonts w:hint="eastAsia"/>
        </w:rPr>
        <w:t>民主法治更加健全，社会公平正义更加彰显，政府作用更好发挥，法治宁德、法治政府、法治社会建设取得新成效。平安宁德建设不断深化，社会治理体系更加完善，以党建为引领的基层社会治理效能明显提高，突发公共事件应急能力显著增强，自然灾害防御水平明显提升，统筹发展和安全更加有力，建成全国市域社会治理现代化试点地区。</w:t>
      </w:r>
    </w:p>
    <w:p>
      <w:pPr>
        <w:pageBreakBefore w:val="0"/>
        <w:widowControl/>
        <w:kinsoku/>
        <w:wordWrap/>
        <w:overflowPunct/>
        <w:topLinePunct w:val="0"/>
        <w:autoSpaceDE/>
        <w:autoSpaceDN/>
        <w:bidi w:val="0"/>
        <w:spacing w:line="600" w:lineRule="exact"/>
        <w:ind w:firstLine="0" w:firstLineChars="0"/>
        <w:jc w:val="left"/>
        <w:textAlignment w:val="auto"/>
      </w:pPr>
      <w:r>
        <w:br w:type="page"/>
      </w:r>
    </w:p>
    <w:p>
      <w:pPr>
        <w:pageBreakBefore w:val="0"/>
        <w:kinsoku/>
        <w:wordWrap/>
        <w:overflowPunct/>
        <w:topLinePunct w:val="0"/>
        <w:autoSpaceDE/>
        <w:autoSpaceDN/>
        <w:bidi w:val="0"/>
        <w:spacing w:line="600" w:lineRule="exact"/>
        <w:ind w:firstLine="0" w:firstLineChars="0"/>
        <w:jc w:val="center"/>
        <w:textAlignment w:val="auto"/>
        <w:rPr>
          <w:b/>
          <w:bCs/>
          <w:sz w:val="28"/>
          <w:szCs w:val="20"/>
        </w:rPr>
      </w:pPr>
      <w:r>
        <w:rPr>
          <w:rFonts w:hint="eastAsia"/>
          <w:b/>
          <w:bCs/>
          <w:sz w:val="28"/>
          <w:szCs w:val="20"/>
        </w:rPr>
        <w:t>表</w:t>
      </w:r>
      <w:r>
        <w:rPr>
          <w:b/>
          <w:bCs/>
          <w:sz w:val="28"/>
          <w:szCs w:val="20"/>
        </w:rPr>
        <w:t>1-2</w:t>
      </w:r>
      <w:r>
        <w:rPr>
          <w:rFonts w:hint="eastAsia"/>
          <w:b/>
          <w:bCs/>
          <w:sz w:val="28"/>
          <w:szCs w:val="20"/>
        </w:rPr>
        <w:t>宁德市“十四五”期间经济社会发展主要目标</w:t>
      </w:r>
    </w:p>
    <w:tbl>
      <w:tblPr>
        <w:tblStyle w:val="23"/>
        <w:tblW w:w="9060" w:type="dxa"/>
        <w:jc w:val="center"/>
        <w:tblLayout w:type="fixed"/>
        <w:tblCellMar>
          <w:top w:w="0" w:type="dxa"/>
          <w:left w:w="108" w:type="dxa"/>
          <w:bottom w:w="0" w:type="dxa"/>
          <w:right w:w="108" w:type="dxa"/>
        </w:tblCellMar>
      </w:tblPr>
      <w:tblGrid>
        <w:gridCol w:w="561"/>
        <w:gridCol w:w="717"/>
        <w:gridCol w:w="3108"/>
        <w:gridCol w:w="1070"/>
        <w:gridCol w:w="837"/>
        <w:gridCol w:w="1034"/>
        <w:gridCol w:w="845"/>
        <w:gridCol w:w="888"/>
      </w:tblGrid>
      <w:tr>
        <w:tblPrEx>
          <w:tblCellMar>
            <w:top w:w="0" w:type="dxa"/>
            <w:left w:w="108" w:type="dxa"/>
            <w:bottom w:w="0" w:type="dxa"/>
            <w:right w:w="108" w:type="dxa"/>
          </w:tblCellMar>
        </w:tblPrEx>
        <w:trPr>
          <w:trHeight w:val="560" w:hRule="atLeast"/>
          <w:jc w:val="center"/>
        </w:trPr>
        <w:tc>
          <w:tcPr>
            <w:tcW w:w="561" w:type="dxa"/>
            <w:vMerge w:val="restart"/>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序号</w:t>
            </w:r>
          </w:p>
        </w:tc>
        <w:tc>
          <w:tcPr>
            <w:tcW w:w="717" w:type="dxa"/>
            <w:vMerge w:val="restart"/>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指标类型</w:t>
            </w:r>
          </w:p>
        </w:tc>
        <w:tc>
          <w:tcPr>
            <w:tcW w:w="3108" w:type="dxa"/>
            <w:vMerge w:val="restart"/>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指标名称</w:t>
            </w:r>
          </w:p>
        </w:tc>
        <w:tc>
          <w:tcPr>
            <w:tcW w:w="1070" w:type="dxa"/>
            <w:vMerge w:val="restart"/>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单位</w:t>
            </w:r>
          </w:p>
        </w:tc>
        <w:tc>
          <w:tcPr>
            <w:tcW w:w="837" w:type="dxa"/>
            <w:vMerge w:val="restart"/>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2020年</w:t>
            </w:r>
          </w:p>
        </w:tc>
        <w:tc>
          <w:tcPr>
            <w:tcW w:w="1879" w:type="dxa"/>
            <w:gridSpan w:val="2"/>
            <w:tcBorders>
              <w:top w:val="single" w:color="auto" w:sz="4" w:space="0"/>
              <w:left w:val="nil"/>
              <w:bottom w:val="single" w:color="auto"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2025年目标</w:t>
            </w:r>
          </w:p>
        </w:tc>
        <w:tc>
          <w:tcPr>
            <w:tcW w:w="888" w:type="dxa"/>
            <w:vMerge w:val="restart"/>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指标</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属性</w:t>
            </w:r>
          </w:p>
        </w:tc>
      </w:tr>
      <w:tr>
        <w:tblPrEx>
          <w:tblCellMar>
            <w:top w:w="0" w:type="dxa"/>
            <w:left w:w="108" w:type="dxa"/>
            <w:bottom w:w="0" w:type="dxa"/>
            <w:right w:w="108" w:type="dxa"/>
          </w:tblCellMar>
        </w:tblPrEx>
        <w:trPr>
          <w:trHeight w:val="560" w:hRule="atLeast"/>
          <w:jc w:val="center"/>
        </w:trPr>
        <w:tc>
          <w:tcPr>
            <w:tcW w:w="561"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717"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1070"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837"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color w:val="000000"/>
                <w:kern w:val="0"/>
                <w:sz w:val="18"/>
                <w:szCs w:val="18"/>
              </w:rPr>
            </w:pPr>
            <w:r>
              <w:rPr>
                <w:rFonts w:hint="eastAsia" w:ascii="仿宋_GB2312" w:hAnsi="宋体" w:cs="宋体"/>
                <w:color w:val="000000"/>
                <w:kern w:val="0"/>
                <w:sz w:val="18"/>
                <w:szCs w:val="18"/>
              </w:rPr>
              <w:t>目标</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宋体" w:cs="宋体"/>
                <w:color w:val="000000"/>
                <w:kern w:val="0"/>
                <w:sz w:val="18"/>
                <w:szCs w:val="18"/>
              </w:rPr>
            </w:pPr>
            <w:r>
              <w:rPr>
                <w:rFonts w:hint="eastAsia" w:ascii="仿宋_GB2312" w:hAnsi="宋体" w:cs="宋体"/>
                <w:color w:val="000000"/>
                <w:kern w:val="0"/>
                <w:sz w:val="18"/>
                <w:szCs w:val="18"/>
              </w:rPr>
              <w:t>年均</w:t>
            </w:r>
          </w:p>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宋体" w:cs="宋体"/>
                <w:color w:val="000000"/>
                <w:kern w:val="0"/>
                <w:sz w:val="18"/>
                <w:szCs w:val="18"/>
              </w:rPr>
            </w:pPr>
            <w:r>
              <w:rPr>
                <w:rFonts w:hint="eastAsia" w:ascii="仿宋_GB2312" w:hAnsi="宋体" w:cs="宋体"/>
                <w:color w:val="000000"/>
                <w:kern w:val="0"/>
                <w:sz w:val="18"/>
                <w:szCs w:val="18"/>
              </w:rPr>
              <w:t>增长</w:t>
            </w:r>
          </w:p>
          <w:p>
            <w:pPr>
              <w:keepNext w:val="0"/>
              <w:keepLines w:val="0"/>
              <w:pageBreakBefore w:val="0"/>
              <w:widowControl/>
              <w:kinsoku/>
              <w:wordWrap/>
              <w:overflowPunct/>
              <w:topLinePunct w:val="0"/>
              <w:autoSpaceDE/>
              <w:autoSpaceDN/>
              <w:bidi w:val="0"/>
              <w:adjustRightInd/>
              <w:snapToGrid/>
              <w:spacing w:line="240" w:lineRule="exact"/>
              <w:ind w:firstLine="0" w:firstLineChars="0"/>
              <w:jc w:val="center"/>
              <w:textAlignment w:val="auto"/>
              <w:rPr>
                <w:rFonts w:hint="eastAsia" w:ascii="仿宋_GB2312" w:hAnsi="宋体" w:cs="宋体"/>
                <w:color w:val="000000"/>
                <w:kern w:val="0"/>
                <w:sz w:val="18"/>
                <w:szCs w:val="18"/>
              </w:rPr>
            </w:pPr>
            <w:r>
              <w:rPr>
                <w:rFonts w:hint="eastAsia" w:ascii="仿宋_GB2312" w:hAnsi="宋体" w:cs="宋体"/>
                <w:color w:val="000000"/>
                <w:kern w:val="0"/>
                <w:sz w:val="18"/>
                <w:szCs w:val="18"/>
              </w:rPr>
              <w:t>[累计]</w:t>
            </w:r>
          </w:p>
        </w:tc>
        <w:tc>
          <w:tcPr>
            <w:tcW w:w="888"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r>
      <w:tr>
        <w:tblPrEx>
          <w:tblCellMar>
            <w:top w:w="0" w:type="dxa"/>
            <w:left w:w="108" w:type="dxa"/>
            <w:bottom w:w="0" w:type="dxa"/>
            <w:right w:w="108" w:type="dxa"/>
          </w:tblCellMar>
        </w:tblPrEx>
        <w:trPr>
          <w:trHeight w:val="285"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w:t>
            </w:r>
          </w:p>
        </w:tc>
        <w:tc>
          <w:tcPr>
            <w:tcW w:w="717"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经济发展</w:t>
            </w: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地区生产总值</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亿元</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仿宋_GB2312" w:hAnsi="宋体" w:eastAsia="仿宋_GB2312" w:cs="宋体"/>
                <w:kern w:val="0"/>
                <w:sz w:val="18"/>
                <w:szCs w:val="18"/>
                <w:lang w:val="en-US" w:eastAsia="zh-CN"/>
              </w:rPr>
            </w:pPr>
            <w:r>
              <w:rPr>
                <w:rFonts w:hint="eastAsia" w:ascii="仿宋_GB2312" w:hAnsi="宋体" w:cs="宋体"/>
                <w:kern w:val="0"/>
                <w:sz w:val="18"/>
                <w:szCs w:val="18"/>
                <w:lang w:val="en-US" w:eastAsia="zh-CN"/>
              </w:rPr>
              <w:t>2619</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4500</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9%</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247"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人均地区生产总值</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万元</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9</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15</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10.8%</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351"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3</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全社会劳动生产率</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万元/人</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12</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20</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10.8%</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285"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4</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制造业增加值占地区生产总值比重</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38</w:t>
            </w:r>
          </w:p>
        </w:tc>
        <w:tc>
          <w:tcPr>
            <w:tcW w:w="1879"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基本保持</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247"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5</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服务业增加值比重</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仿宋_GB2312" w:hAnsi="宋体" w:eastAsia="仿宋_GB2312" w:cs="宋体"/>
                <w:kern w:val="0"/>
                <w:sz w:val="18"/>
                <w:szCs w:val="18"/>
                <w:lang w:val="en-US" w:eastAsia="zh-CN"/>
              </w:rPr>
            </w:pPr>
            <w:r>
              <w:rPr>
                <w:rFonts w:hint="eastAsia" w:ascii="仿宋_GB2312" w:hAnsi="宋体" w:cs="宋体"/>
                <w:kern w:val="0"/>
                <w:sz w:val="18"/>
                <w:szCs w:val="18"/>
                <w:lang w:val="en-US" w:eastAsia="zh-CN"/>
              </w:rPr>
              <w:t>37.2</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40</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r>
              <w:rPr>
                <w:rFonts w:hint="eastAsia" w:ascii="仿宋_GB2312" w:hAnsi="宋体" w:cs="宋体"/>
                <w:kern w:val="0"/>
                <w:sz w:val="18"/>
                <w:szCs w:val="18"/>
                <w:lang w:val="en-US" w:eastAsia="zh-CN"/>
              </w:rPr>
              <w:t>2.8</w:t>
            </w:r>
            <w:r>
              <w:rPr>
                <w:rFonts w:hint="eastAsia" w:ascii="仿宋_GB2312" w:hAnsi="宋体" w:cs="宋体"/>
                <w:kern w:val="0"/>
                <w:sz w:val="18"/>
                <w:szCs w:val="18"/>
              </w:rPr>
              <w:t>]</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195"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6</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常住人口城镇化率</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59</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63</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[4]</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299"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7</w:t>
            </w:r>
          </w:p>
        </w:tc>
        <w:tc>
          <w:tcPr>
            <w:tcW w:w="717"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创新驱动</w:t>
            </w: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研发经费投入增长</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20</w:t>
            </w:r>
          </w:p>
        </w:tc>
        <w:tc>
          <w:tcPr>
            <w:tcW w:w="1879"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20</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261"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8</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每万人口高价值发明专利数拥有量</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件</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5.6</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10</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[4.4]</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223"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9</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科技进步贡献率</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54</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57</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[3]</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357"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10</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数字经济核心产业增加值占GDP比重</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7</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277"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11</w:t>
            </w:r>
          </w:p>
        </w:tc>
        <w:tc>
          <w:tcPr>
            <w:tcW w:w="717"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民生福祉</w:t>
            </w: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居民人均可支配收入</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元</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仿宋_GB2312" w:hAnsi="宋体" w:eastAsia="仿宋_GB2312" w:cs="宋体"/>
                <w:kern w:val="0"/>
                <w:sz w:val="18"/>
                <w:szCs w:val="18"/>
                <w:lang w:val="en-US" w:eastAsia="zh-CN"/>
              </w:rPr>
            </w:pPr>
            <w:r>
              <w:rPr>
                <w:rFonts w:hint="eastAsia" w:ascii="仿宋_GB2312" w:hAnsi="宋体" w:cs="宋体"/>
                <w:kern w:val="0"/>
                <w:sz w:val="18"/>
                <w:szCs w:val="18"/>
                <w:lang w:val="en-US" w:eastAsia="zh-CN"/>
              </w:rPr>
              <w:t>28574</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44000左右</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8.5%</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239"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12</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城镇调查失业率</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1879"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不高于全省平均水平</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343"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13</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城镇新增就业人数</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人</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eastAsia="仿宋_GB2312" w:cs="宋体"/>
                <w:kern w:val="0"/>
                <w:sz w:val="18"/>
                <w:szCs w:val="18"/>
                <w:lang w:eastAsia="zh-CN"/>
              </w:rPr>
            </w:pPr>
            <w:r>
              <w:rPr>
                <w:rFonts w:hint="eastAsia" w:ascii="仿宋_GB2312" w:hAnsi="宋体" w:cs="宋体"/>
                <w:kern w:val="0"/>
                <w:sz w:val="18"/>
                <w:szCs w:val="18"/>
                <w:lang w:val="en-US" w:eastAsia="zh-CN"/>
              </w:rPr>
              <w:t>36500</w:t>
            </w:r>
          </w:p>
        </w:tc>
        <w:tc>
          <w:tcPr>
            <w:tcW w:w="1879"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[100000]</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238"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14</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劳动年龄人口平均受教育年限</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年</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仿宋_GB2312" w:hAnsi="宋体" w:eastAsia="仿宋_GB2312" w:cs="宋体"/>
                <w:kern w:val="0"/>
                <w:sz w:val="18"/>
                <w:szCs w:val="18"/>
                <w:lang w:val="en-US" w:eastAsia="zh-CN"/>
              </w:rPr>
            </w:pPr>
            <w:r>
              <w:rPr>
                <w:rFonts w:hint="eastAsia" w:ascii="仿宋_GB2312" w:hAnsi="宋体" w:cs="宋体"/>
                <w:kern w:val="0"/>
                <w:sz w:val="18"/>
                <w:szCs w:val="18"/>
                <w:lang w:val="en-US" w:eastAsia="zh-CN"/>
              </w:rPr>
              <w:t>12</w:t>
            </w:r>
          </w:p>
        </w:tc>
        <w:tc>
          <w:tcPr>
            <w:tcW w:w="1879"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12.3</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约束性</w:t>
            </w:r>
          </w:p>
        </w:tc>
      </w:tr>
      <w:tr>
        <w:tblPrEx>
          <w:tblCellMar>
            <w:top w:w="0" w:type="dxa"/>
            <w:left w:w="108" w:type="dxa"/>
            <w:bottom w:w="0" w:type="dxa"/>
            <w:right w:w="108" w:type="dxa"/>
          </w:tblCellMar>
        </w:tblPrEx>
        <w:trPr>
          <w:trHeight w:val="381"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15</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每千人口拥有执业（助理）医师数</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人</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2.2</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2.75</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[0.55]</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273"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16</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基本养老保险参保率</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仿宋_GB2312" w:hAnsi="宋体" w:eastAsia="仿宋_GB2312" w:cs="宋体"/>
                <w:kern w:val="0"/>
                <w:sz w:val="18"/>
                <w:szCs w:val="18"/>
                <w:lang w:val="en-US" w:eastAsia="zh-CN"/>
              </w:rPr>
            </w:pPr>
            <w:r>
              <w:rPr>
                <w:rFonts w:hint="eastAsia" w:ascii="仿宋_GB2312" w:hAnsi="宋体" w:cs="宋体"/>
                <w:kern w:val="0"/>
                <w:sz w:val="18"/>
                <w:szCs w:val="18"/>
                <w:lang w:val="en-US" w:eastAsia="zh-CN"/>
              </w:rPr>
              <w:t>90.89</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95</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r>
              <w:rPr>
                <w:rFonts w:hint="eastAsia" w:ascii="仿宋_GB2312" w:hAnsi="宋体" w:cs="宋体"/>
                <w:kern w:val="0"/>
                <w:sz w:val="18"/>
                <w:szCs w:val="18"/>
                <w:lang w:val="en-US" w:eastAsia="zh-CN"/>
              </w:rPr>
              <w:t>4.11</w:t>
            </w:r>
            <w:r>
              <w:rPr>
                <w:rFonts w:hint="eastAsia" w:ascii="仿宋_GB2312" w:hAnsi="宋体" w:cs="宋体"/>
                <w:kern w:val="0"/>
                <w:sz w:val="18"/>
                <w:szCs w:val="18"/>
              </w:rPr>
              <w:t>]</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233"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17</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每千人口拥有3岁以下婴幼儿托位数</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个</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0.625</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3</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[2.375]</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195"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18</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人均预期寿命</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岁</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78.7</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79.63</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[0.93]</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预期性</w:t>
            </w:r>
          </w:p>
        </w:tc>
      </w:tr>
      <w:tr>
        <w:tblPrEx>
          <w:tblCellMar>
            <w:top w:w="0" w:type="dxa"/>
            <w:left w:w="108" w:type="dxa"/>
            <w:bottom w:w="0" w:type="dxa"/>
            <w:right w:w="108" w:type="dxa"/>
          </w:tblCellMar>
        </w:tblPrEx>
        <w:trPr>
          <w:trHeight w:val="157"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19</w:t>
            </w:r>
          </w:p>
        </w:tc>
        <w:tc>
          <w:tcPr>
            <w:tcW w:w="717"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绿色发展</w:t>
            </w: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单位</w:t>
            </w:r>
            <w:r>
              <w:rPr>
                <w:rFonts w:hint="eastAsia" w:ascii="仿宋_GB2312" w:hAnsi="宋体" w:cs="宋体"/>
                <w:kern w:val="0"/>
                <w:sz w:val="18"/>
                <w:szCs w:val="18"/>
                <w:lang w:val="en-US" w:eastAsia="zh-CN"/>
              </w:rPr>
              <w:t>GDP</w:t>
            </w:r>
            <w:r>
              <w:rPr>
                <w:rFonts w:hint="eastAsia" w:ascii="仿宋_GB2312" w:hAnsi="宋体" w:cs="宋体"/>
                <w:kern w:val="0"/>
                <w:sz w:val="18"/>
                <w:szCs w:val="18"/>
              </w:rPr>
              <w:t>能耗降幅</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default" w:ascii="仿宋_GB2312" w:hAnsi="宋体" w:eastAsia="仿宋_GB2312" w:cs="宋体"/>
                <w:kern w:val="0"/>
                <w:sz w:val="18"/>
                <w:szCs w:val="18"/>
                <w:lang w:val="en-US" w:eastAsia="zh-CN"/>
              </w:rPr>
            </w:pPr>
            <w:r>
              <w:rPr>
                <w:rFonts w:hint="eastAsia" w:ascii="仿宋_GB2312" w:hAnsi="宋体" w:cs="宋体"/>
                <w:kern w:val="0"/>
                <w:sz w:val="18"/>
                <w:szCs w:val="18"/>
                <w:lang w:val="en-US" w:eastAsia="zh-CN"/>
              </w:rPr>
              <w:t>2.4</w:t>
            </w:r>
          </w:p>
        </w:tc>
        <w:tc>
          <w:tcPr>
            <w:tcW w:w="1879"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完成省下达指标</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约束性</w:t>
            </w:r>
          </w:p>
        </w:tc>
      </w:tr>
      <w:tr>
        <w:tblPrEx>
          <w:tblCellMar>
            <w:top w:w="0" w:type="dxa"/>
            <w:left w:w="108" w:type="dxa"/>
            <w:bottom w:w="0" w:type="dxa"/>
            <w:right w:w="108" w:type="dxa"/>
          </w:tblCellMar>
        </w:tblPrEx>
        <w:trPr>
          <w:trHeight w:val="119"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20</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单位GDP二氧化碳排放降低</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0.67</w:t>
            </w:r>
          </w:p>
        </w:tc>
        <w:tc>
          <w:tcPr>
            <w:tcW w:w="1879"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完成省下达指标</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约束性</w:t>
            </w:r>
          </w:p>
        </w:tc>
      </w:tr>
      <w:tr>
        <w:tblPrEx>
          <w:tblCellMar>
            <w:top w:w="0" w:type="dxa"/>
            <w:left w:w="108" w:type="dxa"/>
            <w:bottom w:w="0" w:type="dxa"/>
            <w:right w:w="108" w:type="dxa"/>
          </w:tblCellMar>
        </w:tblPrEx>
        <w:trPr>
          <w:trHeight w:val="81"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21</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市县城区空气质量优良天数比率</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eastAsia="仿宋_GB2312" w:cs="宋体"/>
                <w:kern w:val="0"/>
                <w:sz w:val="18"/>
                <w:szCs w:val="18"/>
                <w:lang w:eastAsia="zh-CN"/>
              </w:rPr>
            </w:pPr>
            <w:r>
              <w:rPr>
                <w:rFonts w:hint="eastAsia" w:ascii="仿宋_GB2312" w:hAnsi="宋体" w:cs="宋体"/>
                <w:kern w:val="0"/>
                <w:sz w:val="18"/>
                <w:szCs w:val="18"/>
              </w:rPr>
              <w:t>99.</w:t>
            </w:r>
            <w:r>
              <w:rPr>
                <w:rFonts w:hint="eastAsia" w:ascii="仿宋_GB2312" w:hAnsi="宋体" w:cs="宋体"/>
                <w:kern w:val="0"/>
                <w:sz w:val="18"/>
                <w:szCs w:val="18"/>
                <w:lang w:val="en-US" w:eastAsia="zh-CN"/>
              </w:rPr>
              <w:t>8</w:t>
            </w:r>
          </w:p>
        </w:tc>
        <w:tc>
          <w:tcPr>
            <w:tcW w:w="1879"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完成省下达指标</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约束性</w:t>
            </w:r>
          </w:p>
        </w:tc>
      </w:tr>
      <w:tr>
        <w:tblPrEx>
          <w:tblCellMar>
            <w:top w:w="0" w:type="dxa"/>
            <w:left w:w="108" w:type="dxa"/>
            <w:bottom w:w="0" w:type="dxa"/>
            <w:right w:w="108" w:type="dxa"/>
          </w:tblCellMar>
        </w:tblPrEx>
        <w:trPr>
          <w:trHeight w:val="326"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22</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地表水达到或好于Ⅲ类水体比例</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100</w:t>
            </w:r>
          </w:p>
        </w:tc>
        <w:tc>
          <w:tcPr>
            <w:tcW w:w="1879"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100</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约束性</w:t>
            </w:r>
          </w:p>
        </w:tc>
      </w:tr>
      <w:tr>
        <w:tblPrEx>
          <w:tblCellMar>
            <w:top w:w="0" w:type="dxa"/>
            <w:left w:w="108" w:type="dxa"/>
            <w:bottom w:w="0" w:type="dxa"/>
            <w:right w:w="108" w:type="dxa"/>
          </w:tblCellMar>
        </w:tblPrEx>
        <w:trPr>
          <w:trHeight w:val="275"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23</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森林覆盖率</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69.98</w:t>
            </w:r>
          </w:p>
        </w:tc>
        <w:tc>
          <w:tcPr>
            <w:tcW w:w="1879"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基本保持</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约束性</w:t>
            </w:r>
          </w:p>
        </w:tc>
      </w:tr>
      <w:tr>
        <w:tblPrEx>
          <w:tblCellMar>
            <w:top w:w="0" w:type="dxa"/>
            <w:left w:w="108" w:type="dxa"/>
            <w:bottom w:w="0" w:type="dxa"/>
            <w:right w:w="108" w:type="dxa"/>
          </w:tblCellMar>
        </w:tblPrEx>
        <w:trPr>
          <w:trHeight w:val="237"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24</w:t>
            </w:r>
          </w:p>
        </w:tc>
        <w:tc>
          <w:tcPr>
            <w:tcW w:w="717" w:type="dxa"/>
            <w:vMerge w:val="restart"/>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安全保障</w:t>
            </w: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粮食综合生产能力</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万吨</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47.2</w:t>
            </w:r>
          </w:p>
        </w:tc>
        <w:tc>
          <w:tcPr>
            <w:tcW w:w="1879" w:type="dxa"/>
            <w:gridSpan w:val="2"/>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完成省下达指标</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约束性</w:t>
            </w:r>
          </w:p>
        </w:tc>
      </w:tr>
      <w:tr>
        <w:tblPrEx>
          <w:tblCellMar>
            <w:top w:w="0" w:type="dxa"/>
            <w:left w:w="108" w:type="dxa"/>
            <w:bottom w:w="0" w:type="dxa"/>
            <w:right w:w="108" w:type="dxa"/>
          </w:tblCellMar>
        </w:tblPrEx>
        <w:trPr>
          <w:trHeight w:val="327" w:hRule="atLeast"/>
          <w:jc w:val="center"/>
        </w:trPr>
        <w:tc>
          <w:tcPr>
            <w:tcW w:w="561" w:type="dxa"/>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25</w:t>
            </w:r>
          </w:p>
        </w:tc>
        <w:tc>
          <w:tcPr>
            <w:tcW w:w="717"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p>
        </w:tc>
        <w:tc>
          <w:tcPr>
            <w:tcW w:w="310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left"/>
              <w:textAlignment w:val="auto"/>
              <w:rPr>
                <w:rFonts w:hint="eastAsia" w:ascii="仿宋_GB2312" w:hAnsi="宋体" w:cs="宋体"/>
                <w:kern w:val="0"/>
                <w:sz w:val="18"/>
                <w:szCs w:val="18"/>
              </w:rPr>
            </w:pPr>
            <w:r>
              <w:rPr>
                <w:rFonts w:hint="eastAsia" w:ascii="仿宋_GB2312" w:hAnsi="宋体" w:cs="宋体"/>
                <w:kern w:val="0"/>
                <w:sz w:val="18"/>
                <w:szCs w:val="18"/>
              </w:rPr>
              <w:t>能源综合生产能力</w:t>
            </w:r>
          </w:p>
        </w:tc>
        <w:tc>
          <w:tcPr>
            <w:tcW w:w="1070"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万吨</w:t>
            </w:r>
          </w:p>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标准煤</w:t>
            </w:r>
          </w:p>
        </w:tc>
        <w:tc>
          <w:tcPr>
            <w:tcW w:w="837"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1122</w:t>
            </w:r>
          </w:p>
        </w:tc>
        <w:tc>
          <w:tcPr>
            <w:tcW w:w="1034"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1290</w:t>
            </w:r>
          </w:p>
        </w:tc>
        <w:tc>
          <w:tcPr>
            <w:tcW w:w="845"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2.8%</w:t>
            </w:r>
          </w:p>
        </w:tc>
        <w:tc>
          <w:tcPr>
            <w:tcW w:w="888" w:type="dxa"/>
            <w:tcBorders>
              <w:top w:val="nil"/>
              <w:left w:val="nil"/>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ind w:firstLine="0" w:firstLineChars="0"/>
              <w:jc w:val="center"/>
              <w:textAlignment w:val="auto"/>
              <w:rPr>
                <w:rFonts w:hint="eastAsia" w:ascii="仿宋_GB2312" w:hAnsi="宋体" w:cs="宋体"/>
                <w:kern w:val="0"/>
                <w:sz w:val="18"/>
                <w:szCs w:val="18"/>
              </w:rPr>
            </w:pPr>
            <w:r>
              <w:rPr>
                <w:rFonts w:hint="eastAsia" w:ascii="仿宋_GB2312" w:hAnsi="宋体" w:cs="宋体"/>
                <w:kern w:val="0"/>
                <w:sz w:val="18"/>
                <w:szCs w:val="18"/>
              </w:rPr>
              <w:t>约束性</w:t>
            </w:r>
          </w:p>
        </w:tc>
      </w:tr>
    </w:tbl>
    <w:p>
      <w:pPr>
        <w:pageBreakBefore w:val="0"/>
        <w:widowControl/>
        <w:kinsoku/>
        <w:wordWrap/>
        <w:overflowPunct/>
        <w:topLinePunct w:val="0"/>
        <w:autoSpaceDE/>
        <w:autoSpaceDN/>
        <w:bidi w:val="0"/>
        <w:spacing w:line="600" w:lineRule="exact"/>
        <w:ind w:firstLine="0" w:firstLineChars="0"/>
        <w:jc w:val="left"/>
        <w:textAlignment w:val="auto"/>
        <w:rPr>
          <w:rFonts w:hint="eastAsia" w:ascii="仿宋_GB2312" w:hAnsi="宋体" w:eastAsia="仿宋_GB2312" w:cs="宋体"/>
          <w:kern w:val="0"/>
          <w:sz w:val="18"/>
          <w:szCs w:val="18"/>
          <w:lang w:eastAsia="zh-CN"/>
        </w:rPr>
      </w:pPr>
      <w:r>
        <w:rPr>
          <w:rFonts w:hint="eastAsia" w:ascii="仿宋_GB2312" w:hAnsi="宋体" w:cs="宋体"/>
          <w:kern w:val="0"/>
          <w:sz w:val="18"/>
          <w:szCs w:val="18"/>
        </w:rPr>
        <w:t>注：带[</w:t>
      </w:r>
      <w:r>
        <w:rPr>
          <w:rFonts w:ascii="仿宋_GB2312" w:hAnsi="宋体" w:cs="宋体"/>
          <w:kern w:val="0"/>
          <w:sz w:val="18"/>
          <w:szCs w:val="18"/>
        </w:rPr>
        <w:t>]</w:t>
      </w:r>
      <w:r>
        <w:rPr>
          <w:rFonts w:hint="eastAsia" w:ascii="仿宋_GB2312" w:hAnsi="宋体" w:cs="宋体"/>
          <w:kern w:val="0"/>
          <w:sz w:val="18"/>
          <w:szCs w:val="18"/>
        </w:rPr>
        <w:t>的数据为五年累计数</w:t>
      </w:r>
      <w:r>
        <w:rPr>
          <w:rFonts w:hint="eastAsia" w:ascii="仿宋_GB2312" w:hAnsi="宋体" w:cs="宋体"/>
          <w:kern w:val="0"/>
          <w:sz w:val="18"/>
          <w:szCs w:val="18"/>
          <w:lang w:eastAsia="zh-CN"/>
        </w:rPr>
        <w:t>。</w:t>
      </w:r>
    </w:p>
    <w:p>
      <w:pPr>
        <w:pageBreakBefore w:val="0"/>
        <w:widowControl/>
        <w:kinsoku/>
        <w:wordWrap/>
        <w:overflowPunct/>
        <w:topLinePunct w:val="0"/>
        <w:autoSpaceDE/>
        <w:autoSpaceDN/>
        <w:bidi w:val="0"/>
        <w:spacing w:line="600" w:lineRule="exact"/>
        <w:ind w:firstLine="0" w:firstLineChars="0"/>
        <w:jc w:val="left"/>
        <w:textAlignment w:val="auto"/>
      </w:pPr>
      <w:r>
        <w:br w:type="page"/>
      </w:r>
    </w:p>
    <w:p>
      <w:pPr>
        <w:pStyle w:val="3"/>
        <w:pageBreakBefore w:val="0"/>
        <w:kinsoku/>
        <w:wordWrap/>
        <w:overflowPunct/>
        <w:topLinePunct w:val="0"/>
        <w:autoSpaceDE/>
        <w:autoSpaceDN/>
        <w:bidi w:val="0"/>
        <w:spacing w:line="600" w:lineRule="exact"/>
        <w:ind w:firstLine="640"/>
        <w:textAlignment w:val="auto"/>
        <w:rPr>
          <w:rFonts w:hint="eastAsia" w:ascii="黑体" w:hAnsi="黑体" w:eastAsia="黑体"/>
          <w:sz w:val="32"/>
          <w:szCs w:val="48"/>
        </w:rPr>
      </w:pPr>
      <w:bookmarkStart w:id="128" w:name="_Toc51714650"/>
      <w:bookmarkStart w:id="129" w:name="_Toc24781"/>
      <w:bookmarkStart w:id="130" w:name="_Toc11457"/>
      <w:bookmarkStart w:id="131" w:name="_Toc10070"/>
      <w:bookmarkStart w:id="132" w:name="_Toc32648"/>
      <w:bookmarkStart w:id="133" w:name="_Toc61117342"/>
      <w:bookmarkStart w:id="134" w:name="_Toc55722873"/>
      <w:bookmarkStart w:id="135" w:name="_Toc55911842"/>
      <w:bookmarkStart w:id="136" w:name="_Toc22950"/>
      <w:bookmarkStart w:id="137" w:name="_Toc8027"/>
      <w:bookmarkStart w:id="138" w:name="_Toc9958"/>
      <w:bookmarkStart w:id="139" w:name="_Toc6921"/>
      <w:bookmarkStart w:id="140" w:name="_Toc57326004"/>
      <w:bookmarkStart w:id="141" w:name="_Toc11869"/>
      <w:bookmarkStart w:id="142" w:name="_Toc31210"/>
      <w:bookmarkStart w:id="143" w:name="_Toc24384"/>
      <w:bookmarkStart w:id="144" w:name="_Toc57320157"/>
      <w:bookmarkStart w:id="145" w:name="_Toc12237"/>
      <w:bookmarkStart w:id="146" w:name="_Toc57320162"/>
      <w:bookmarkStart w:id="147" w:name="_Toc57326009"/>
      <w:bookmarkStart w:id="148" w:name="_Toc57320166"/>
    </w:p>
    <w:p>
      <w:pPr>
        <w:pStyle w:val="3"/>
        <w:pageBreakBefore w:val="0"/>
        <w:kinsoku/>
        <w:wordWrap/>
        <w:overflowPunct/>
        <w:topLinePunct w:val="0"/>
        <w:autoSpaceDE/>
        <w:autoSpaceDN/>
        <w:bidi w:val="0"/>
        <w:spacing w:line="600" w:lineRule="exact"/>
        <w:ind w:firstLine="640"/>
        <w:textAlignment w:val="auto"/>
        <w:rPr>
          <w:rFonts w:hint="eastAsia" w:ascii="方正黑体简体" w:hAnsi="方正黑体简体" w:eastAsia="方正黑体简体" w:cs="方正黑体简体"/>
          <w:b w:val="0"/>
          <w:bCs w:val="0"/>
          <w:sz w:val="32"/>
          <w:szCs w:val="48"/>
        </w:rPr>
      </w:pPr>
      <w:r>
        <w:rPr>
          <w:rFonts w:hint="eastAsia" w:ascii="方正黑体简体" w:hAnsi="方正黑体简体" w:eastAsia="方正黑体简体" w:cs="方正黑体简体"/>
          <w:b w:val="0"/>
          <w:bCs w:val="0"/>
          <w:sz w:val="32"/>
          <w:szCs w:val="48"/>
        </w:rPr>
        <w:t xml:space="preserve">第二章 </w:t>
      </w:r>
      <w:bookmarkEnd w:id="128"/>
      <w:r>
        <w:rPr>
          <w:rFonts w:hint="eastAsia" w:ascii="方正黑体简体" w:hAnsi="方正黑体简体" w:eastAsia="方正黑体简体" w:cs="方正黑体简体"/>
          <w:b w:val="0"/>
          <w:bCs w:val="0"/>
          <w:sz w:val="32"/>
          <w:szCs w:val="48"/>
          <w:lang w:val="en-US" w:eastAsia="zh-CN"/>
        </w:rPr>
        <w:t xml:space="preserve"> </w:t>
      </w:r>
      <w:r>
        <w:rPr>
          <w:rFonts w:hint="eastAsia" w:ascii="方正黑体简体" w:hAnsi="方正黑体简体" w:eastAsia="方正黑体简体" w:cs="方正黑体简体"/>
          <w:b w:val="0"/>
          <w:bCs w:val="0"/>
          <w:sz w:val="32"/>
          <w:szCs w:val="48"/>
        </w:rPr>
        <w:t>全面建设创新型宁德</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pacing w:val="-6"/>
          <w:szCs w:val="30"/>
        </w:rPr>
        <w:t>紧紧围绕习近平总书记在宁德工作期间提出的“把科技教育作为闽东经济社会发展的头等大事来抓”“把科技教育的热能转化为经济发展的动能”要求，坚持创新是引领发展的第一动力，推动产业链创新链深度融合，筑牢高质量发展的基础支撑，基本形成创新型宁德格局。</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149" w:name="_Toc55168308"/>
      <w:bookmarkStart w:id="150" w:name="_Toc55722874"/>
      <w:bookmarkStart w:id="151" w:name="_Toc57326005"/>
      <w:bookmarkStart w:id="152" w:name="_Toc57320158"/>
      <w:bookmarkStart w:id="153" w:name="_Toc10794"/>
      <w:bookmarkStart w:id="154" w:name="_Toc7622"/>
      <w:bookmarkStart w:id="155" w:name="_Toc55911843"/>
      <w:bookmarkStart w:id="156" w:name="_Toc30251"/>
      <w:bookmarkStart w:id="157" w:name="_Toc28453"/>
      <w:bookmarkStart w:id="158" w:name="_Toc3521"/>
      <w:bookmarkStart w:id="159" w:name="_Toc19887"/>
      <w:bookmarkStart w:id="160" w:name="_Toc12134"/>
      <w:bookmarkStart w:id="161" w:name="_Toc512"/>
      <w:bookmarkStart w:id="162" w:name="_Toc1175"/>
      <w:bookmarkStart w:id="163" w:name="_Toc17443"/>
      <w:bookmarkStart w:id="164" w:name="_Toc28406"/>
      <w:bookmarkStart w:id="165" w:name="_Toc21737"/>
      <w:bookmarkStart w:id="166" w:name="_Toc61117343"/>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第一节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全力打造</w:t>
      </w:r>
      <w:bookmarkEnd w:id="149"/>
      <w:r>
        <w:rPr>
          <w:rFonts w:hint="eastAsia" w:ascii="楷体" w:hAnsi="楷体" w:eastAsia="楷体"/>
          <w:sz w:val="32"/>
          <w:szCs w:val="36"/>
        </w:rPr>
        <w:t>产业</w:t>
      </w:r>
      <w:bookmarkEnd w:id="150"/>
      <w:bookmarkEnd w:id="151"/>
      <w:bookmarkEnd w:id="152"/>
      <w:bookmarkEnd w:id="153"/>
      <w:bookmarkEnd w:id="154"/>
      <w:bookmarkEnd w:id="155"/>
      <w:r>
        <w:rPr>
          <w:rFonts w:hint="eastAsia" w:ascii="楷体" w:hAnsi="楷体" w:eastAsia="楷体"/>
          <w:sz w:val="32"/>
          <w:szCs w:val="36"/>
        </w:rPr>
        <w:t>创新高地</w:t>
      </w:r>
      <w:bookmarkEnd w:id="156"/>
      <w:bookmarkEnd w:id="157"/>
      <w:bookmarkEnd w:id="158"/>
      <w:bookmarkEnd w:id="159"/>
      <w:bookmarkEnd w:id="160"/>
      <w:bookmarkEnd w:id="161"/>
      <w:bookmarkEnd w:id="162"/>
      <w:bookmarkEnd w:id="163"/>
      <w:bookmarkEnd w:id="164"/>
      <w:bookmarkEnd w:id="165"/>
      <w:bookmarkEnd w:id="166"/>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推动龙头企业技术外溢，强化产学研合作，提升原始创新能力，重点攻坚关键核心技术，构建以龙头企业为主导、高校院所为重点、产业链上下游共同参与的协同创新生态。</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一、全面提升科技创新能力</w:t>
      </w:r>
    </w:p>
    <w:p>
      <w:pPr>
        <w:pageBreakBefore w:val="0"/>
        <w:kinsoku/>
        <w:wordWrap/>
        <w:overflowPunct/>
        <w:topLinePunct w:val="0"/>
        <w:autoSpaceDE/>
        <w:autoSpaceDN/>
        <w:bidi w:val="0"/>
        <w:spacing w:line="600" w:lineRule="exact"/>
        <w:ind w:firstLine="600"/>
        <w:textAlignment w:val="auto"/>
        <w:rPr>
          <w:rFonts w:ascii="仿宋_GB2312"/>
          <w:spacing w:val="-6"/>
          <w:szCs w:val="30"/>
        </w:rPr>
      </w:pPr>
      <w:r>
        <w:rPr>
          <w:rFonts w:hint="eastAsia" w:ascii="仿宋_GB2312"/>
          <w:spacing w:val="-6"/>
          <w:szCs w:val="30"/>
        </w:rPr>
        <w:t>围绕四大主导产业组织一批产业科技重大专项，统筹布局应用基础研究，提高创新链条整体效能。推进电化学储能国家工程研究中心建设，加快建设</w:t>
      </w:r>
      <w:r>
        <w:rPr>
          <w:rFonts w:ascii="仿宋_GB2312"/>
          <w:spacing w:val="-6"/>
          <w:szCs w:val="30"/>
        </w:rPr>
        <w:t>21C</w:t>
      </w:r>
      <w:r>
        <w:rPr>
          <w:rFonts w:hint="eastAsia" w:ascii="仿宋_GB2312"/>
          <w:spacing w:val="-6"/>
          <w:szCs w:val="30"/>
        </w:rPr>
        <w:t>创新实验室，争创能源材料领域国家实验室。推进省级工程研究中心建设，积极争取创建国家级工程研究中心。创新大院名所引进方式，支持龙头企业与高校院所联合成立院士工作站、博士后工作站，围绕钙钛矿太阳能电池、新型碳材料、硅材料、高比能量正极材料、非晶合金、机器人、生物医药等新技术领域开展研究，形成一批具有自主知识产权和重大应用前景的原始创新成果。</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二、强化企业创新主体地位</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实施企业创新能力提升行动，促进各类创新性要素向企业集聚，培育壮大“独角兽”“双高”“专精特新”“单打冠军”等创新型领军企业。推动规模以上工业企业研发活动全覆盖，鼓励新建一批重点实验室、新型研发机构等技术创新平台。支持龙头企业牵头创建创新联合体，承担重大技术攻关项目和重大成果产业化项目。鼓励传统产业加大创新力度，发挥骨干企业的引领支撑作用，加强共性技术平台建设，支持创新型中小微企业成长，推动产业链上中下游、大中小企业融通创新。</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三、构建产业协同创新生态</w:t>
      </w:r>
    </w:p>
    <w:p>
      <w:pPr>
        <w:pageBreakBefore w:val="0"/>
        <w:kinsoku/>
        <w:wordWrap/>
        <w:overflowPunct/>
        <w:topLinePunct w:val="0"/>
        <w:autoSpaceDE/>
        <w:autoSpaceDN/>
        <w:bidi w:val="0"/>
        <w:spacing w:line="600" w:lineRule="exact"/>
        <w:ind w:firstLine="600"/>
        <w:textAlignment w:val="auto"/>
        <w:rPr>
          <w:rFonts w:hint="eastAsia" w:ascii="仿宋_GB2312"/>
          <w:szCs w:val="30"/>
        </w:rPr>
      </w:pPr>
      <w:r>
        <w:rPr>
          <w:rFonts w:hint="eastAsia" w:ascii="仿宋_GB2312"/>
          <w:szCs w:val="30"/>
        </w:rPr>
        <w:t>推动龙头企业和高校院所开放创新资源，培育形成“产业孵化、协同攻关、成果转化”三位一体的产业协同创新生态。鼓励龙头企业建立开放式创新平台，采用“平台</w:t>
      </w:r>
      <w:r>
        <w:rPr>
          <w:rFonts w:ascii="仿宋_GB2312"/>
          <w:szCs w:val="30"/>
        </w:rPr>
        <w:t>+</w:t>
      </w:r>
      <w:r>
        <w:rPr>
          <w:rFonts w:hint="eastAsia" w:ascii="仿宋_GB2312"/>
          <w:szCs w:val="30"/>
        </w:rPr>
        <w:t>赋能”模式，推动在</w:t>
      </w:r>
      <w:r>
        <w:rPr>
          <w:rFonts w:ascii="仿宋_GB2312"/>
          <w:szCs w:val="30"/>
        </w:rPr>
        <w:t>V2G</w:t>
      </w:r>
      <w:r>
        <w:rPr>
          <w:rFonts w:hint="eastAsia" w:ascii="仿宋_GB2312"/>
          <w:szCs w:val="30"/>
        </w:rPr>
        <w:t>、智慧能源、车联网、电子信息等细分领域精准布局。围绕良种培育、丰产栽培等领域成立山海协作创新中心，开展技术联合攻关。围绕新能源汽车、新材料等领域，成立</w:t>
      </w:r>
      <w:r>
        <w:rPr>
          <w:rFonts w:ascii="仿宋_GB2312"/>
          <w:szCs w:val="30"/>
        </w:rPr>
        <w:t>6</w:t>
      </w:r>
      <w:r>
        <w:rPr>
          <w:rFonts w:hint="eastAsia" w:ascii="仿宋_GB2312"/>
          <w:szCs w:val="30"/>
        </w:rPr>
        <w:t>·</w:t>
      </w:r>
      <w:r>
        <w:rPr>
          <w:rFonts w:ascii="仿宋_GB2312"/>
          <w:szCs w:val="30"/>
        </w:rPr>
        <w:t>18</w:t>
      </w:r>
      <w:r>
        <w:rPr>
          <w:rFonts w:hint="eastAsia" w:ascii="仿宋_GB2312"/>
          <w:szCs w:val="30"/>
        </w:rPr>
        <w:t>协同创新院产业技术分院。强化军民科技协同创新，支持军民两用关键技术产品研发和创新成果双向转化应用。</w:t>
      </w:r>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Style w:val="4"/>
        <w:pageBreakBefore w:val="0"/>
        <w:numPr>
          <w:ilvl w:val="0"/>
          <w:numId w:val="2"/>
        </w:numPr>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167" w:name="_Toc57320159"/>
      <w:bookmarkStart w:id="168" w:name="_Toc55722875"/>
      <w:bookmarkStart w:id="169" w:name="_Toc23072"/>
      <w:bookmarkStart w:id="170" w:name="_Toc30163"/>
      <w:bookmarkStart w:id="171" w:name="_Toc55911844"/>
      <w:bookmarkStart w:id="172" w:name="_Toc57326006"/>
      <w:bookmarkStart w:id="173" w:name="_Toc14559"/>
      <w:bookmarkStart w:id="174" w:name="_Toc31248"/>
      <w:bookmarkStart w:id="175" w:name="_Toc16641"/>
      <w:bookmarkStart w:id="176" w:name="_Toc17493"/>
      <w:bookmarkStart w:id="177" w:name="_Toc7234"/>
      <w:bookmarkStart w:id="178" w:name="_Toc27524"/>
      <w:bookmarkStart w:id="179" w:name="_Toc15253"/>
      <w:bookmarkStart w:id="180" w:name="_Toc16647"/>
      <w:bookmarkStart w:id="181" w:name="_Toc22265"/>
      <w:bookmarkStart w:id="182" w:name="_Toc9334"/>
      <w:bookmarkStart w:id="183" w:name="_Toc61117344"/>
      <w:r>
        <w:rPr>
          <w:rFonts w:hint="eastAsia" w:ascii="楷体" w:hAnsi="楷体" w:eastAsia="楷体"/>
          <w:sz w:val="32"/>
          <w:szCs w:val="36"/>
          <w:lang w:val="en-US" w:eastAsia="zh-CN"/>
        </w:rPr>
        <w:t xml:space="preserve"> </w:t>
      </w:r>
      <w:r>
        <w:rPr>
          <w:rFonts w:hint="eastAsia" w:ascii="楷体" w:hAnsi="楷体" w:eastAsia="楷体"/>
          <w:sz w:val="32"/>
          <w:szCs w:val="36"/>
        </w:rPr>
        <w:t>加快构筑多元创业</w:t>
      </w:r>
      <w:bookmarkEnd w:id="167"/>
      <w:bookmarkEnd w:id="168"/>
      <w:bookmarkEnd w:id="169"/>
      <w:bookmarkEnd w:id="170"/>
      <w:bookmarkEnd w:id="171"/>
      <w:bookmarkEnd w:id="172"/>
      <w:r>
        <w:rPr>
          <w:rFonts w:hint="eastAsia" w:ascii="楷体" w:hAnsi="楷体" w:eastAsia="楷体"/>
          <w:sz w:val="32"/>
          <w:szCs w:val="36"/>
        </w:rPr>
        <w:t>平台</w:t>
      </w:r>
      <w:bookmarkEnd w:id="173"/>
      <w:bookmarkEnd w:id="174"/>
      <w:bookmarkEnd w:id="175"/>
      <w:bookmarkEnd w:id="176"/>
      <w:bookmarkEnd w:id="177"/>
      <w:bookmarkEnd w:id="178"/>
      <w:bookmarkEnd w:id="179"/>
      <w:bookmarkEnd w:id="180"/>
      <w:bookmarkEnd w:id="181"/>
      <w:bookmarkEnd w:id="182"/>
      <w:bookmarkEnd w:id="183"/>
    </w:p>
    <w:p>
      <w:pPr>
        <w:numPr>
          <w:ilvl w:val="0"/>
          <w:numId w:val="0"/>
        </w:numPr>
      </w:pP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发挥龙头企业创新带动力，建设多双边创业合作平台、新型创业孵化平台等多层次创新创业体系，吸引国际高端创新人才、青年人才、科研团队在宁创业孵化，形成开放包容的创业生态。</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一、建设国家双创示范基地</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加快构建全球多双边创业合作平台，营造有利于提升锂电新能源产业全球竞争能级的国际化创新创业生态。加强与国际创新先进城市的创新创业政策沟通、资源融通和链接，依托侨智中心、锂电新能源小镇等载体，打造国际创客中心，完善便利海外创客创业生活的政策。对接海外双创孵化器、国际科技创业组织，推动龙头企业联合国外高校、跨国公司、中介机构打造离岸双创基地。成立海外创业投资基金，提升海外创业项目本地转化率。</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二、建设新型创业孵化平台</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盘活闲置空间资源，完善配套社区商务和生活服务，打造集工作、生活、休闲于一体的无边界“城区化”创业综合体。改造升级闲置厂房、旧仓库、存量商务楼宇、废弃办公场地等存量空间，鼓励民营机构、大中专院校建设运营众创空间、孵化器，大力扶持以返乡青年为重点的年轻人创业。鼓励众创空间与高校</w:t>
      </w:r>
      <w:r>
        <w:rPr>
          <w:rFonts w:hint="eastAsia" w:ascii="仿宋_GB2312"/>
          <w:szCs w:val="30"/>
          <w:lang w:eastAsia="zh-CN"/>
        </w:rPr>
        <w:t>、</w:t>
      </w:r>
      <w:r>
        <w:rPr>
          <w:rFonts w:hint="eastAsia" w:ascii="仿宋_GB2312"/>
          <w:szCs w:val="30"/>
        </w:rPr>
        <w:t>科研院所开展协同孵化，支持科研人员等创新创业团队入驻孵化器。拓展创业辅导、资源对接、市场开拓等孵化功能，提供专业化创新创业服务。</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184" w:name="_Toc55168310"/>
      <w:bookmarkStart w:id="185" w:name="_Toc55722876"/>
      <w:bookmarkStart w:id="186" w:name="_Toc28698"/>
      <w:bookmarkStart w:id="187" w:name="_Toc55911845"/>
      <w:bookmarkStart w:id="188" w:name="_Toc16394"/>
      <w:bookmarkStart w:id="189" w:name="_Toc57326007"/>
      <w:bookmarkStart w:id="190" w:name="_Toc32121"/>
      <w:bookmarkStart w:id="191" w:name="_Toc57320160"/>
      <w:bookmarkStart w:id="192" w:name="_Toc32314"/>
      <w:bookmarkStart w:id="193" w:name="_Toc2951"/>
      <w:bookmarkStart w:id="194" w:name="_Toc4094"/>
      <w:bookmarkStart w:id="195" w:name="_Toc13184"/>
      <w:bookmarkStart w:id="196" w:name="_Toc21530"/>
      <w:bookmarkStart w:id="197" w:name="_Toc29648"/>
      <w:bookmarkStart w:id="198" w:name="_Toc28956"/>
      <w:bookmarkStart w:id="199" w:name="_Toc4048"/>
      <w:bookmarkStart w:id="200" w:name="_Toc30409"/>
      <w:bookmarkStart w:id="201" w:name="_Toc61117345"/>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第三节</w:t>
      </w:r>
      <w:bookmarkEnd w:id="184"/>
      <w:bookmarkEnd w:id="185"/>
      <w:r>
        <w:rPr>
          <w:rFonts w:hint="eastAsia" w:ascii="楷体" w:hAnsi="楷体" w:eastAsia="楷体"/>
          <w:sz w:val="32"/>
          <w:szCs w:val="36"/>
          <w:lang w:val="en-US" w:eastAsia="zh-CN"/>
        </w:rPr>
        <w:t xml:space="preserve"> </w:t>
      </w:r>
      <w:r>
        <w:rPr>
          <w:rFonts w:hint="eastAsia" w:ascii="楷体" w:hAnsi="楷体" w:eastAsia="楷体"/>
          <w:sz w:val="32"/>
          <w:szCs w:val="36"/>
        </w:rPr>
        <w:t xml:space="preserve"> 激发人才创造活力</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ageBreakBefore w:val="0"/>
        <w:kinsoku/>
        <w:wordWrap/>
        <w:overflowPunct/>
        <w:topLinePunct w:val="0"/>
        <w:autoSpaceDE/>
        <w:autoSpaceDN/>
        <w:bidi w:val="0"/>
        <w:spacing w:line="600" w:lineRule="exact"/>
        <w:ind w:firstLine="600"/>
        <w:textAlignment w:val="auto"/>
        <w:rPr>
          <w:rFonts w:ascii="仿宋_GB2312"/>
          <w:spacing w:val="-6"/>
          <w:szCs w:val="30"/>
        </w:rPr>
      </w:pPr>
      <w:r>
        <w:rPr>
          <w:rFonts w:hint="eastAsia" w:ascii="仿宋_GB2312"/>
          <w:spacing w:val="-6"/>
          <w:szCs w:val="30"/>
        </w:rPr>
        <w:t>深入实施“人才强市”战略，深化人才发展体制机制改革，完善人才“引育留用”政策体系，优化人才创新创业发展环境，推动青年人才培育，不断促进人才规模、质量和结构与经济社会发展需求相适应。</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shd w:val="clear" w:color="auto" w:fill="FFFFFF"/>
        </w:rPr>
      </w:pPr>
      <w:r>
        <w:rPr>
          <w:rFonts w:hint="eastAsia" w:ascii="仿宋_GB2312"/>
          <w:b/>
          <w:bCs/>
          <w:szCs w:val="30"/>
          <w:shd w:val="clear" w:color="auto" w:fill="FFFFFF"/>
        </w:rPr>
        <w:t>一、建设高层次人才队伍</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迭代升级“三都澳人才计划”，建立普惠化与个性化相结合的人才政策体系，提升政策创新和机制创新驱动力。围绕科研创新链、产业链布局人才链，构建“高精尖缺”人才开发目录库。持续打造“宁智回归”引才品牌，推动市域产业地图与人才地图融合对接，梯次培养、精准引进科技领军人才、青年科技人才、高水平创新团队和高层次管理人员。充分发挥企业协会和商会的作用，组建企业家讲师团，推广“企业家培养企业家”模式，打造一支有开拓精神、前瞻眼光、国际视野的宁德企业家队伍。实施本土人才培育工程，在市级重大人才工程项目中设立青年专项，对遴选宁德市青年拔尖人才进行支持，加快推进与国际一流研究机构、一流大学及跨国企业共建合作交流平台。</w:t>
      </w:r>
    </w:p>
    <w:p>
      <w:pPr>
        <w:pStyle w:val="5"/>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szCs w:val="30"/>
        </w:rPr>
        <w:t>二、打造“宁德工匠”基地</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聚焦产业需求，实施知识更新工程、技能提升行动，构建产教训融合、政企社协同、育选用贯通的技能人才培育体系，创建高技能人才培训基地，培养适应企业需求的创新型、应用型、技能型人才。推进东侨开发区和湾坞不锈钢产业示范园区产教融合园区及宁德职教园建设，在市、县工业园建设职业教育实训基地。不断扩大职教集团办学规模，推进大中专院校应用型学科专业建设，完善对接宁德产业链、服务创新链的学科专业体系。扩大与省内外职业院校办学合作，全面推广企业冠名班等模式，形成技能型人才储备库。</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三、优化人才服务机制</w:t>
      </w:r>
    </w:p>
    <w:p>
      <w:pPr>
        <w:pageBreakBefore w:val="0"/>
        <w:kinsoku/>
        <w:wordWrap/>
        <w:overflowPunct/>
        <w:topLinePunct w:val="0"/>
        <w:autoSpaceDE/>
        <w:autoSpaceDN/>
        <w:bidi w:val="0"/>
        <w:spacing w:line="600" w:lineRule="exact"/>
        <w:ind w:firstLine="600"/>
        <w:textAlignment w:val="auto"/>
        <w:rPr>
          <w:rFonts w:hint="eastAsia" w:ascii="仿宋_GB2312"/>
          <w:szCs w:val="30"/>
        </w:rPr>
      </w:pPr>
      <w:r>
        <w:rPr>
          <w:rFonts w:hint="eastAsia" w:ascii="仿宋_GB2312"/>
          <w:szCs w:val="30"/>
        </w:rPr>
        <w:t>建立人力资源服务产业园，建设人才孵化与服务大厦，推进重点开发区、工业园区人才驿站建设，构建融产业链、服务链、创新链于一体的综合性人才服务平台。不断完善“宁德智慧人才服务平台”，打造人才大数据库，提供“一站式”人力资源服务。完善科技人才评价机制，构建充分体现创新要素价值的收益分配机制。扩大“三都澳英才卡”持卡人才范围，开展举家引进配套工程，提升人才住房、子女入学、配偶就业等服务保障水平</w:t>
      </w:r>
      <w:r>
        <w:rPr>
          <w:rFonts w:hint="eastAsia" w:ascii="仿宋_GB2312" w:hAnsi="inherit"/>
          <w:szCs w:val="30"/>
          <w:shd w:val="clear" w:color="auto" w:fill="FFFFFF"/>
        </w:rPr>
        <w:t>。</w:t>
      </w:r>
      <w:r>
        <w:rPr>
          <w:rFonts w:hint="eastAsia" w:ascii="仿宋_GB2312" w:hAnsi="Arial" w:cs="Arial"/>
          <w:color w:val="191919"/>
          <w:szCs w:val="30"/>
          <w:shd w:val="clear" w:color="auto" w:fill="FFFFFF"/>
        </w:rPr>
        <w:t>配置专业人才管家</w:t>
      </w:r>
      <w:r>
        <w:rPr>
          <w:rFonts w:hint="eastAsia" w:ascii="仿宋_GB2312"/>
          <w:szCs w:val="30"/>
        </w:rPr>
        <w:t>，跟踪解决人才诉求。</w:t>
      </w:r>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bookmarkStart w:id="202" w:name="_Toc57326008"/>
      <w:bookmarkStart w:id="203" w:name="_Toc55911846"/>
      <w:bookmarkStart w:id="204" w:name="_Toc13408"/>
      <w:bookmarkStart w:id="205" w:name="_Toc57320161"/>
      <w:bookmarkStart w:id="206" w:name="_Toc12676"/>
      <w:bookmarkStart w:id="207" w:name="_Toc25868"/>
      <w:bookmarkStart w:id="208" w:name="_Toc2043"/>
      <w:bookmarkStart w:id="209" w:name="_Toc2770"/>
      <w:bookmarkStart w:id="210" w:name="_Toc28362"/>
      <w:bookmarkStart w:id="211" w:name="_Toc24474"/>
      <w:bookmarkStart w:id="212" w:name="_Toc27849"/>
      <w:bookmarkStart w:id="213" w:name="_Toc5577"/>
      <w:bookmarkStart w:id="214" w:name="_Toc61117346"/>
      <w:bookmarkStart w:id="215" w:name="_Toc18491"/>
      <w:bookmarkStart w:id="216" w:name="_Toc27930"/>
      <w:bookmarkStart w:id="217" w:name="_Toc19475"/>
      <w:r>
        <w:rPr>
          <w:rFonts w:hint="eastAsia" w:ascii="楷体" w:hAnsi="楷体" w:eastAsia="楷体"/>
          <w:sz w:val="32"/>
          <w:szCs w:val="36"/>
        </w:rPr>
        <w:t>第四节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优化区域创新</w:t>
      </w:r>
      <w:bookmarkEnd w:id="202"/>
      <w:bookmarkEnd w:id="203"/>
      <w:bookmarkEnd w:id="204"/>
      <w:bookmarkEnd w:id="205"/>
      <w:bookmarkEnd w:id="206"/>
      <w:r>
        <w:rPr>
          <w:rFonts w:hint="eastAsia" w:ascii="楷体" w:hAnsi="楷体" w:eastAsia="楷体"/>
          <w:sz w:val="32"/>
          <w:szCs w:val="36"/>
        </w:rPr>
        <w:t>环境</w:t>
      </w:r>
      <w:bookmarkEnd w:id="207"/>
      <w:bookmarkEnd w:id="208"/>
      <w:bookmarkEnd w:id="209"/>
      <w:bookmarkEnd w:id="210"/>
      <w:bookmarkEnd w:id="211"/>
      <w:bookmarkEnd w:id="212"/>
      <w:bookmarkEnd w:id="213"/>
      <w:bookmarkEnd w:id="214"/>
      <w:bookmarkEnd w:id="215"/>
      <w:bookmarkEnd w:id="216"/>
      <w:bookmarkEnd w:id="217"/>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积极创建国家级、省级高新区，加强国家农业科技园区建设，完善集知识产权保护、科技成果转移转化、科技金融于一体的科技创新体制机制，优化区域创新环境。</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一、积极创建国家级、省级高新区</w:t>
      </w:r>
    </w:p>
    <w:p>
      <w:pPr>
        <w:pageBreakBefore w:val="0"/>
        <w:kinsoku/>
        <w:wordWrap/>
        <w:overflowPunct/>
        <w:topLinePunct w:val="0"/>
        <w:autoSpaceDE/>
        <w:autoSpaceDN/>
        <w:bidi w:val="0"/>
        <w:spacing w:line="600" w:lineRule="exact"/>
        <w:ind w:firstLine="600"/>
        <w:textAlignment w:val="auto"/>
        <w:rPr>
          <w:rFonts w:ascii="仿宋_GB2312"/>
          <w:spacing w:val="-6"/>
          <w:szCs w:val="30"/>
        </w:rPr>
      </w:pPr>
      <w:r>
        <w:rPr>
          <w:rFonts w:hint="eastAsia" w:ascii="仿宋_GB2312"/>
          <w:spacing w:val="-6"/>
          <w:szCs w:val="30"/>
        </w:rPr>
        <w:t>科学编制高新技术产业开发区规划,完善公共服务配套。依托东侨开发区,重点打造以锂电新能源产业为主导产业的省级高新技术产业开发区，争创国家级高新技术产业开发区。依托柘荣生物医药循环经济产业园、古田医药产业园，积极创建省级高新技术产业开发区。整合提升各类开发区,加强园区标准化建设。探索托管区位相邻的省级开发区、工业园区,打造更多集中连片、协同互补、联合发展的创新共同体。</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二、建设海洋科技创新基地</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推动宁德国家农业科技园区创新发展，打造海洋科技创新基地。提升大黄鱼育种国家重点实验室建设水平，建设大黄鱼、海带、坛紫菜、鲈鱼、曼氏无针乌贼、贝类等国家级水产原良种场，探索培育珍稀特种鱼类。对接海洋渔业装备先进研究机构，建设海洋渔业装备研发与制造基地，打造深远海养殖装备海上试验场，发展高端海洋渔业装备及高性能渔具捕捞操作设备。推动水产加工龙头企业联合高校院所，开展海洋生物制品及新材料的产业化关键技术研发。</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三、完善科技创新体制机制</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深入推进科技体制改革，完善科技创新治理体系，推动重点领域项目、基地、人才、资金一体化配置。完善对高校、科研院所和科学家长期稳定支持机制，支持高校、科研院所等事业单位专业技术人员在职创业、离岗创业。突出知识产权全链条保护，建设“知创宁德”知识产权公共服务平台、中国（宁德）知识产权保护中心。争创国家级知识产权试点示范园区，承接国家专利导航项目。对接国家技术转移海峡中心、协同创新院，建设宁德科技大市场。加快推进对国内外一流高校院所的专利收储工作，创建省级科技成果产业化基地，推动国家级创新科技成果、军民两用技术成果在宁落地转化。完善金融支持创新体系，</w:t>
      </w:r>
      <w:r>
        <w:rPr>
          <w:rFonts w:hint="eastAsia" w:ascii="仿宋_GB2312" w:hAnsi="inherit"/>
          <w:szCs w:val="30"/>
          <w:shd w:val="clear" w:color="auto" w:fill="FFFFFF"/>
        </w:rPr>
        <w:t>加强银证担保联动合作，推动“科技贷”增点扩面。加速科技型上市后备企业培育和挂牌融资，</w:t>
      </w:r>
      <w:r>
        <w:rPr>
          <w:rFonts w:hint="eastAsia" w:ascii="仿宋_GB2312"/>
          <w:szCs w:val="30"/>
        </w:rPr>
        <w:t>探索设立财政性资金参股的创业投资基金。</w:t>
      </w:r>
      <w:r>
        <w:rPr>
          <w:rFonts w:ascii="仿宋_GB2312"/>
          <w:szCs w:val="30"/>
        </w:rPr>
        <w:br w:type="page"/>
      </w:r>
    </w:p>
    <w:p>
      <w:pPr>
        <w:pageBreakBefore w:val="0"/>
        <w:kinsoku/>
        <w:wordWrap/>
        <w:overflowPunct/>
        <w:topLinePunct w:val="0"/>
        <w:autoSpaceDE/>
        <w:autoSpaceDN/>
        <w:bidi w:val="0"/>
        <w:spacing w:line="600" w:lineRule="exact"/>
        <w:ind w:firstLine="600"/>
        <w:textAlignment w:val="auto"/>
        <w:rPr>
          <w:rFonts w:ascii="仿宋_GB2312"/>
          <w:szCs w:val="30"/>
        </w:rPr>
      </w:pPr>
    </w:p>
    <w:bookmarkEnd w:id="146"/>
    <w:bookmarkEnd w:id="147"/>
    <w:p>
      <w:pPr>
        <w:pStyle w:val="3"/>
        <w:pageBreakBefore w:val="0"/>
        <w:numPr>
          <w:ilvl w:val="0"/>
          <w:numId w:val="3"/>
        </w:numPr>
        <w:kinsoku/>
        <w:wordWrap/>
        <w:overflowPunct/>
        <w:topLinePunct w:val="0"/>
        <w:autoSpaceDE/>
        <w:autoSpaceDN/>
        <w:bidi w:val="0"/>
        <w:spacing w:line="600" w:lineRule="exact"/>
        <w:ind w:firstLine="640"/>
        <w:textAlignment w:val="auto"/>
        <w:rPr>
          <w:rFonts w:hint="eastAsia" w:ascii="黑体" w:hAnsi="黑体" w:eastAsia="黑体"/>
          <w:b w:val="0"/>
          <w:bCs w:val="0"/>
          <w:sz w:val="32"/>
          <w:szCs w:val="48"/>
        </w:rPr>
      </w:pPr>
      <w:bookmarkStart w:id="218" w:name="_Toc22072"/>
      <w:bookmarkStart w:id="219" w:name="_Toc9156"/>
      <w:bookmarkStart w:id="220" w:name="_Toc10852"/>
      <w:bookmarkStart w:id="221" w:name="_Toc27341"/>
      <w:bookmarkStart w:id="222" w:name="_Toc17140"/>
      <w:bookmarkStart w:id="223" w:name="_Toc25327"/>
      <w:bookmarkStart w:id="224" w:name="_Toc13200"/>
      <w:bookmarkStart w:id="225" w:name="_Toc13067"/>
      <w:bookmarkStart w:id="226" w:name="_Toc61117347"/>
      <w:bookmarkStart w:id="227" w:name="_Toc14523"/>
      <w:bookmarkStart w:id="228" w:name="_Toc32740"/>
      <w:bookmarkStart w:id="229" w:name="_Toc12013"/>
      <w:bookmarkStart w:id="230" w:name="_Toc58779709"/>
      <w:bookmarkStart w:id="231" w:name="_Toc21395"/>
      <w:bookmarkStart w:id="232" w:name="_Toc51714654"/>
      <w:bookmarkStart w:id="233" w:name="_Toc57320165"/>
      <w:bookmarkStart w:id="234" w:name="_Toc55168316"/>
      <w:bookmarkStart w:id="235" w:name="_Toc55722881"/>
      <w:bookmarkStart w:id="236" w:name="_Toc54824395"/>
      <w:bookmarkStart w:id="237" w:name="_Toc57326012"/>
      <w:bookmarkStart w:id="238" w:name="_Toc55911850"/>
      <w:r>
        <w:rPr>
          <w:rFonts w:ascii="黑体" w:hAnsi="黑体" w:eastAsia="黑体"/>
          <w:b w:val="0"/>
          <w:bCs w:val="0"/>
          <w:sz w:val="32"/>
          <w:szCs w:val="48"/>
        </w:rPr>
        <w:t xml:space="preserve"> </w:t>
      </w:r>
      <w:r>
        <w:rPr>
          <w:rFonts w:hint="eastAsia" w:ascii="黑体" w:hAnsi="黑体" w:eastAsia="黑体"/>
          <w:b w:val="0"/>
          <w:bCs w:val="0"/>
          <w:sz w:val="32"/>
          <w:szCs w:val="48"/>
        </w:rPr>
        <w:t>加快构建现代产业体系</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numPr>
          <w:ilvl w:val="0"/>
          <w:numId w:val="0"/>
        </w:numPr>
      </w:pP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始终牢记习近平总书记在宁德工作期间提出的“闽东发展的动力在于工业”以及回宁德视察时提出的“多上几个大项目，多抱几个‘金娃娃’，加快跨越式发展”殷切嘱托，坚持壮龙头建集群，推动产业纵向延伸横向融合，力争全市工业产值迈上万亿台阶，百亿元企业达</w:t>
      </w:r>
      <w:r>
        <w:rPr>
          <w:rFonts w:ascii="仿宋_GB2312"/>
          <w:szCs w:val="30"/>
        </w:rPr>
        <w:t>20</w:t>
      </w:r>
      <w:r>
        <w:rPr>
          <w:rFonts w:hint="eastAsia" w:ascii="仿宋_GB2312"/>
          <w:szCs w:val="30"/>
        </w:rPr>
        <w:t>家以上。</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239" w:name="_Toc54824393"/>
      <w:bookmarkStart w:id="240" w:name="_Toc60"/>
      <w:bookmarkStart w:id="241" w:name="_Toc28368"/>
      <w:bookmarkStart w:id="242" w:name="_Toc18926"/>
      <w:bookmarkStart w:id="243" w:name="_Toc15757"/>
      <w:bookmarkStart w:id="244" w:name="_Toc58779710"/>
      <w:bookmarkStart w:id="245" w:name="_Toc21973"/>
      <w:bookmarkStart w:id="246" w:name="_Toc7708"/>
      <w:bookmarkStart w:id="247" w:name="_Toc55911848"/>
      <w:bookmarkStart w:id="248" w:name="_Toc57320163"/>
      <w:bookmarkStart w:id="249" w:name="_Toc55722878"/>
      <w:bookmarkStart w:id="250" w:name="_Toc11711"/>
      <w:bookmarkStart w:id="251" w:name="_Toc13066"/>
      <w:bookmarkStart w:id="252" w:name="_Toc55168313"/>
      <w:bookmarkStart w:id="253" w:name="_Toc24758"/>
      <w:bookmarkStart w:id="254" w:name="_Toc57326010"/>
      <w:bookmarkStart w:id="255" w:name="_Toc61117348"/>
      <w:bookmarkStart w:id="256" w:name="_Toc31794"/>
      <w:bookmarkStart w:id="257" w:name="_Toc10269"/>
      <w:bookmarkStart w:id="258" w:name="_Toc31087"/>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第一节</w:t>
      </w:r>
      <w:bookmarkEnd w:id="239"/>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打造四大主导产业地标</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ageBreakBefore w:val="0"/>
        <w:kinsoku/>
        <w:wordWrap/>
        <w:overflowPunct/>
        <w:topLinePunct w:val="0"/>
        <w:autoSpaceDE/>
        <w:autoSpaceDN/>
        <w:bidi w:val="0"/>
        <w:spacing w:line="600" w:lineRule="exact"/>
        <w:ind w:firstLine="600"/>
        <w:textAlignment w:val="auto"/>
        <w:rPr>
          <w:rFonts w:hint="eastAsia" w:ascii="仿宋_GB2312"/>
          <w:szCs w:val="30"/>
        </w:rPr>
      </w:pPr>
      <w:r>
        <w:rPr>
          <w:rFonts w:hint="eastAsia" w:ascii="仿宋_GB2312"/>
          <w:szCs w:val="30"/>
        </w:rPr>
        <w:t>坚定贯彻制造强国战略，推进产业基础高级化、产业链现代化，筑牢宁德全方位推动高质量发展超越的“战略基石”，力争到2025年，四大主导产业全产业链</w:t>
      </w:r>
      <w:r>
        <w:rPr>
          <w:rFonts w:hint="eastAsia" w:ascii="仿宋_GB2312"/>
          <w:szCs w:val="30"/>
          <w:lang w:eastAsia="zh-CN"/>
        </w:rPr>
        <w:t>产值</w:t>
      </w:r>
      <w:r>
        <w:rPr>
          <w:rFonts w:hint="eastAsia" w:ascii="仿宋_GB2312"/>
          <w:szCs w:val="30"/>
        </w:rPr>
        <w:t>达到9000亿元。</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一、建设全方位领先的世界锂电之都</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坚持全领域覆盖、全场景布局，推动锂电池全价值链、全产业链发展。到2025年，全产业链</w:t>
      </w:r>
      <w:r>
        <w:rPr>
          <w:rFonts w:hint="eastAsia" w:ascii="仿宋_GB2312"/>
          <w:lang w:eastAsia="zh-CN"/>
        </w:rPr>
        <w:t>产值</w:t>
      </w:r>
      <w:r>
        <w:rPr>
          <w:rFonts w:hint="eastAsia" w:ascii="仿宋_GB2312"/>
        </w:rPr>
        <w:t>力争超4000亿元；到2035年，建成全方位领先的世界锂电之都。</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加强研发创新。</w:t>
      </w:r>
      <w:r>
        <w:rPr>
          <w:rFonts w:hint="eastAsia" w:ascii="仿宋_GB2312"/>
          <w:szCs w:val="30"/>
        </w:rPr>
        <w:t>依托电化学储能国家工程研究中心、宁德时代</w:t>
      </w:r>
      <w:r>
        <w:rPr>
          <w:rFonts w:ascii="仿宋_GB2312"/>
          <w:szCs w:val="30"/>
        </w:rPr>
        <w:t>21C</w:t>
      </w:r>
      <w:r>
        <w:rPr>
          <w:rFonts w:hint="eastAsia" w:ascii="仿宋_GB2312"/>
          <w:szCs w:val="30"/>
        </w:rPr>
        <w:t>创新实验室等平台，加快突破能量密度、循环寿命、安全性能、快充性能等技术瓶颈，跟进全固态电池、锂空气电池、锂硫电池等前沿技术商业应用，建立健全动力电池模块化标准体系。推动钛酸等锂电新材料研发试验，前瞻布局镍钴锰铝电池材料。加快形成储能产品体系，提升成套装置设计、制造与运维能力。</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加速产能扩张。</w:t>
      </w:r>
      <w:r>
        <w:rPr>
          <w:rFonts w:hint="eastAsia" w:ascii="仿宋_GB2312"/>
          <w:szCs w:val="30"/>
        </w:rPr>
        <w:t>重点推进宁德时代和新能源科技系列扩能项目、储能项目、时代一汽二期等项目建设，探索成立储能产业基金，打造国家储能产业基地。完善动力电池多层次多用途回收利用体系，打造动力电池报废拆解和梯次利用示范项目，跟踪布局新能源车用动力电池相关金属期货，提高锂、镍、钴、铂等关键资源保障能力。</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完善协作配套。</w:t>
      </w:r>
      <w:r>
        <w:rPr>
          <w:rFonts w:hint="eastAsia" w:ascii="仿宋_GB2312"/>
          <w:szCs w:val="30"/>
        </w:rPr>
        <w:t>推动正负极材料、电解液、隔膜、铜箔、锂电装备等产业链项目近地化配套，建设锂电供应商园区。发展自主可控的锂电材料和装备，做大一批锂电池核心材料骨干企业，引入真空搅拌机、涂布机等装备制造企业，布局锂电新设备新工艺开发与验证中心。强化低成本制造能力，引入超级电容、储能变流器、电池管理系统、能量管理系统核心企业。</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支持推广新型商业模式。</w:t>
      </w:r>
      <w:r>
        <w:rPr>
          <w:rFonts w:hint="eastAsia" w:ascii="仿宋_GB2312"/>
          <w:szCs w:val="30"/>
        </w:rPr>
        <w:t>扩大锂电新能源在绿色交通、能源存储、港口码头等领域的应用。推进工程机械、换电重卡、绿色无人矿山等电动化示范项目，加速锂电池在船舶智能化上的应用。支持车电分离新商业模式应用，完善充电设施运营服务平台建设，布局电池后市场维修保养、材料回收，推广电池租用服务、电池银行新模式。</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二、建设世界最大不锈钢产业基地</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坚持绿色发展、创新发展，持续向精深加工领域延伸、全产业体系布局，谋划建设中国不锈钢城，创建国家级不锈钢产业冶炼中心、加工中心、创新研发中心、检测中心、交易中心。到</w:t>
      </w:r>
      <w:r>
        <w:rPr>
          <w:rFonts w:ascii="仿宋_GB2312"/>
          <w:szCs w:val="30"/>
        </w:rPr>
        <w:t>2025</w:t>
      </w:r>
      <w:r>
        <w:rPr>
          <w:rFonts w:hint="eastAsia" w:ascii="仿宋_GB2312"/>
          <w:szCs w:val="30"/>
        </w:rPr>
        <w:t>年，全产业链</w:t>
      </w:r>
      <w:r>
        <w:rPr>
          <w:rFonts w:hint="eastAsia" w:ascii="仿宋_GB2312"/>
          <w:lang w:eastAsia="zh-CN"/>
        </w:rPr>
        <w:t>产值</w:t>
      </w:r>
      <w:r>
        <w:rPr>
          <w:rFonts w:hint="eastAsia" w:ascii="仿宋_GB2312"/>
          <w:szCs w:val="30"/>
        </w:rPr>
        <w:t>力争实现翻一番，接近</w:t>
      </w:r>
      <w:r>
        <w:rPr>
          <w:rFonts w:ascii="仿宋_GB2312"/>
          <w:szCs w:val="30"/>
        </w:rPr>
        <w:t>3000</w:t>
      </w:r>
      <w:r>
        <w:rPr>
          <w:rFonts w:hint="eastAsia" w:ascii="仿宋_GB2312"/>
          <w:szCs w:val="30"/>
        </w:rPr>
        <w:t>亿元；到</w:t>
      </w:r>
      <w:r>
        <w:rPr>
          <w:rFonts w:ascii="仿宋_GB2312"/>
          <w:szCs w:val="30"/>
        </w:rPr>
        <w:t>2035</w:t>
      </w:r>
      <w:r>
        <w:rPr>
          <w:rFonts w:hint="eastAsia" w:ascii="仿宋_GB2312"/>
          <w:szCs w:val="30"/>
        </w:rPr>
        <w:t>年，建成世界最大不锈钢产业基地。</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加大产品和工艺创新。</w:t>
      </w:r>
      <w:r>
        <w:rPr>
          <w:rFonts w:hint="eastAsia" w:ascii="仿宋_GB2312"/>
          <w:szCs w:val="30"/>
        </w:rPr>
        <w:t>推进与国内外顶级冶金材料高校院所合作，支持青拓集团申报不锈钢产业国家级制造业创新中心。加快高氮节镍奥氏体系列不锈钢新材料（</w:t>
      </w:r>
      <w:r>
        <w:rPr>
          <w:rFonts w:ascii="仿宋_GB2312"/>
          <w:szCs w:val="30"/>
        </w:rPr>
        <w:t>QN</w:t>
      </w:r>
      <w:r>
        <w:rPr>
          <w:rFonts w:hint="eastAsia" w:ascii="仿宋_GB2312"/>
          <w:szCs w:val="30"/>
        </w:rPr>
        <w:t>系列）的研发和在海洋装备、通讯基站、基建工程等领域的推广应用。引进国内外知名检验检测认证认可与标准化机构，完善检测仪器设备配置，提高行业标准参与度，努力建设国家级不锈钢检测中心。引入</w:t>
      </w:r>
      <w:r>
        <w:rPr>
          <w:rFonts w:ascii="仿宋_GB2312"/>
          <w:szCs w:val="30"/>
        </w:rPr>
        <w:t>3D</w:t>
      </w:r>
      <w:r>
        <w:rPr>
          <w:rFonts w:hint="eastAsia" w:ascii="仿宋_GB2312"/>
          <w:szCs w:val="30"/>
        </w:rPr>
        <w:t>打印技术，实现废钢渣再利用。</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推动产业链向高端延伸。</w:t>
      </w:r>
      <w:r>
        <w:rPr>
          <w:rFonts w:hint="eastAsia" w:ascii="仿宋_GB2312"/>
          <w:szCs w:val="30"/>
        </w:rPr>
        <w:t>发展红土镍矿冶炼不锈钢新技术新工艺，跟踪推进不锈钢产能置换，持续做大产业规模。加快发展全系列不锈钢产品中下游精深加工和高端冷轧项目，向超宽、超薄、超强度等高端产品拓展，向镜面钢、彩色钢等高附加值终端制品延伸，重点发展医疗器械、核电、航空机械、厨卫设备、建筑装饰用高品质特钢材料，参与新能源汽车产业配套。大力推广先进适用技术和装备，积极建设国家级不锈钢产业示范基地。</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完善产业配套服务体系。</w:t>
      </w:r>
      <w:r>
        <w:rPr>
          <w:rFonts w:hint="eastAsia" w:ascii="仿宋_GB2312"/>
          <w:szCs w:val="30"/>
        </w:rPr>
        <w:t>加快对接引进不锈钢贸易结算、市场交易等生产性服务企业，整合现有不锈钢龙头企业营销信息，建设不锈钢产品交易中心，进一步提升不锈钢行业定价权。支持与大型不锈钢物流仓储企业合作，强化不锈钢物流配送能力。支持建立境外经贸合作区，开展国际产能合作，在印尼等矿产资源丰富的国家和地区布局不锈钢冶炼及粗加工项目，增强不锈钢价格竞争优势。</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三、建设国内最具成本竞争优势的现代汽车城</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抢抓新能源汽车产业发展重大战略机遇，构建以上汽宁德基地为主导、以关键系统创新应用为牵引、全链条融合的新能源汽车产业生态。到</w:t>
      </w:r>
      <w:r>
        <w:rPr>
          <w:rFonts w:ascii="仿宋_GB2312"/>
          <w:szCs w:val="30"/>
        </w:rPr>
        <w:t>2025</w:t>
      </w:r>
      <w:r>
        <w:rPr>
          <w:rFonts w:hint="eastAsia" w:ascii="仿宋_GB2312"/>
          <w:szCs w:val="30"/>
        </w:rPr>
        <w:t>年，全产业链</w:t>
      </w:r>
      <w:r>
        <w:rPr>
          <w:rFonts w:hint="eastAsia" w:ascii="仿宋_GB2312"/>
          <w:lang w:eastAsia="zh-CN"/>
        </w:rPr>
        <w:t>产值</w:t>
      </w:r>
      <w:r>
        <w:rPr>
          <w:rFonts w:hint="eastAsia" w:ascii="仿宋_GB2312"/>
          <w:szCs w:val="30"/>
        </w:rPr>
        <w:t>力争达</w:t>
      </w:r>
      <w:r>
        <w:rPr>
          <w:rFonts w:ascii="仿宋_GB2312"/>
          <w:szCs w:val="30"/>
        </w:rPr>
        <w:t>1000</w:t>
      </w:r>
      <w:r>
        <w:rPr>
          <w:rFonts w:hint="eastAsia" w:ascii="仿宋_GB2312"/>
          <w:szCs w:val="30"/>
        </w:rPr>
        <w:t>亿元；到</w:t>
      </w:r>
      <w:r>
        <w:rPr>
          <w:rFonts w:ascii="仿宋_GB2312"/>
          <w:szCs w:val="30"/>
        </w:rPr>
        <w:t>2035</w:t>
      </w:r>
      <w:r>
        <w:rPr>
          <w:rFonts w:hint="eastAsia" w:ascii="仿宋_GB2312"/>
          <w:szCs w:val="30"/>
        </w:rPr>
        <w:t>年，建成国内最具成本竞争优势的现代汽车城。</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加速全链条发展。</w:t>
      </w:r>
      <w:r>
        <w:rPr>
          <w:rFonts w:hint="eastAsia" w:ascii="仿宋_GB2312"/>
          <w:szCs w:val="30"/>
        </w:rPr>
        <w:t>推动上汽宁德基地一期项目达产及二期扩能项目落地，争取设立上汽集团技术中心宁德分中心，协调高端新车型在宁德基地研发和生产。谋划引进新能源客车、专用车等新车型产能项目，吸引更多配套商集聚宁德。布局汽车半导体，探索车辆轻量化关键材料产业化应用。密切跟进智能网联汽车产业动态，谋划发展车载高精度传感器等关键零部件产品。</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争创新能源汽车智慧城市。</w:t>
      </w:r>
      <w:r>
        <w:rPr>
          <w:rFonts w:hint="eastAsia" w:ascii="仿宋_GB2312"/>
          <w:szCs w:val="30"/>
        </w:rPr>
        <w:t>结合“电动宁德”布局，加快充电桩基础设施建设，推广相邻车位共享等合作模式。构建新能源汽车与可再生能源电力系统信息共享平台，加强新能源汽车充电与风电光伏协同调度。鼓励在港口集疏运通道、高速公路、物流配送、市政环卫、景区等场景开展高度自动驾驶、智能网联汽车示范应用项目，加快实施示范区车路协同信息化设施建设改造。</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四、建设具有全球影响力的铜产业基地</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加快推进铜冶炼及精深加工集聚发展，形成集铜精矿贸易、铜冶炼、铜精深加工、再生循环产业为一体的完整产业链条。到</w:t>
      </w:r>
      <w:r>
        <w:rPr>
          <w:rFonts w:ascii="仿宋_GB2312"/>
          <w:szCs w:val="30"/>
        </w:rPr>
        <w:t>2025</w:t>
      </w:r>
      <w:r>
        <w:rPr>
          <w:rFonts w:hint="eastAsia" w:ascii="仿宋_GB2312"/>
          <w:szCs w:val="30"/>
        </w:rPr>
        <w:t>年，全产业链</w:t>
      </w:r>
      <w:r>
        <w:rPr>
          <w:rFonts w:hint="eastAsia" w:ascii="仿宋_GB2312"/>
          <w:lang w:eastAsia="zh-CN"/>
        </w:rPr>
        <w:t>产值</w:t>
      </w:r>
      <w:r>
        <w:rPr>
          <w:rFonts w:hint="eastAsia" w:ascii="仿宋_GB2312"/>
          <w:szCs w:val="30"/>
        </w:rPr>
        <w:t>力争突破</w:t>
      </w:r>
      <w:r>
        <w:rPr>
          <w:rFonts w:ascii="仿宋_GB2312"/>
          <w:szCs w:val="30"/>
        </w:rPr>
        <w:t>1000</w:t>
      </w:r>
      <w:r>
        <w:rPr>
          <w:rFonts w:hint="eastAsia" w:ascii="仿宋_GB2312"/>
          <w:szCs w:val="30"/>
        </w:rPr>
        <w:t>亿元；到</w:t>
      </w:r>
      <w:r>
        <w:rPr>
          <w:rFonts w:ascii="仿宋_GB2312"/>
          <w:szCs w:val="30"/>
        </w:rPr>
        <w:t>2035</w:t>
      </w:r>
      <w:r>
        <w:rPr>
          <w:rFonts w:hint="eastAsia" w:ascii="仿宋_GB2312"/>
          <w:szCs w:val="30"/>
        </w:rPr>
        <w:t>年，建成具有全球影响力的铜产业基地。</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建设全国铜矿混配与分拨中心。</w:t>
      </w:r>
      <w:r>
        <w:rPr>
          <w:rFonts w:hint="eastAsia" w:ascii="仿宋_GB2312"/>
          <w:szCs w:val="30"/>
        </w:rPr>
        <w:t>以“保税混矿”政策优势为突破口，全面加强与矿山、铜材料加工企业、贸易商对接，协同优化国际大宗资源商品供应链物流体系，定制混矿质量服务管控方案。探索推进“多国别、多矿种”保税混矿，全力打造铜矿“保税</w:t>
      </w:r>
      <w:r>
        <w:rPr>
          <w:rFonts w:ascii="仿宋_GB2312"/>
          <w:szCs w:val="30"/>
        </w:rPr>
        <w:t>+</w:t>
      </w:r>
      <w:r>
        <w:rPr>
          <w:rFonts w:hint="eastAsia" w:ascii="仿宋_GB2312"/>
          <w:szCs w:val="30"/>
        </w:rPr>
        <w:t>混矿</w:t>
      </w:r>
      <w:r>
        <w:rPr>
          <w:rFonts w:ascii="仿宋_GB2312"/>
          <w:szCs w:val="30"/>
        </w:rPr>
        <w:t>+</w:t>
      </w:r>
      <w:r>
        <w:rPr>
          <w:rFonts w:hint="eastAsia" w:ascii="仿宋_GB2312"/>
          <w:szCs w:val="30"/>
        </w:rPr>
        <w:t>国际中转”核心业务。</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推进铜材料精深加工。</w:t>
      </w:r>
      <w:r>
        <w:rPr>
          <w:rFonts w:hint="eastAsia" w:ascii="仿宋_GB2312"/>
          <w:szCs w:val="30"/>
        </w:rPr>
        <w:t>加快推动正威铜基材料、福浦铜精深加工、嘉元铜箔等项目建成投产，积极延伸铜材料精深加工产业链，重点推进电子工业用铜、高精铜板带（管）、铜箔、铜棒材、铜线杆、铜漆包线等产品规模化生产，扩展铜基复合材料等高性能产品，谋划布局发展先进铜合金材料。推动铜材料参与锂电新能源、新能源汽车、电机电器产业配套。</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发展铜工业循环经济。</w:t>
      </w:r>
      <w:r>
        <w:rPr>
          <w:rFonts w:hint="eastAsia" w:ascii="仿宋_GB2312"/>
          <w:szCs w:val="30"/>
        </w:rPr>
        <w:t>加强对二氧化硫、氮氧化物、颗粒物等烟气排放值实时在线监测，实现“超净排放”。推进共伴生物二次利用，延伸发展伴生硫酸深加工、铜渣综合利用、贵金属回收利用、铜再生加工等产业。</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仿宋_GB2312" w:hAnsi="楷体" w:cs="楷体"/>
                <w:szCs w:val="30"/>
              </w:rPr>
            </w:pPr>
            <w:r>
              <w:rPr>
                <w:rFonts w:hint="eastAsia" w:ascii="仿宋_GB2312" w:hAnsi="楷体" w:cs="楷体"/>
                <w:b/>
                <w:bCs/>
                <w:szCs w:val="30"/>
              </w:rPr>
              <w:t>专栏</w:t>
            </w:r>
            <w:r>
              <w:rPr>
                <w:rFonts w:ascii="仿宋_GB2312" w:hAnsi="楷体" w:cs="楷体"/>
                <w:b/>
                <w:bCs/>
                <w:szCs w:val="30"/>
              </w:rPr>
              <w:t>3-1</w:t>
            </w:r>
            <w:r>
              <w:rPr>
                <w:rFonts w:hint="eastAsia" w:ascii="仿宋_GB2312" w:hAnsi="楷体" w:cs="楷体"/>
                <w:b/>
                <w:bCs/>
                <w:szCs w:val="30"/>
              </w:rPr>
              <w:t>：产业链提升工程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仿宋_GB2312" w:cs="仿宋_GB2312"/>
                <w:sz w:val="24"/>
                <w:szCs w:val="24"/>
              </w:rPr>
            </w:pPr>
            <w:r>
              <w:rPr>
                <w:rFonts w:hint="eastAsia" w:ascii="仿宋_GB2312" w:hAnsi="仿宋_GB2312" w:cs="仿宋_GB2312"/>
                <w:sz w:val="24"/>
                <w:szCs w:val="24"/>
              </w:rPr>
              <w:t>实施产业链提升工程，提高全球供应链协同和配置资源能力，优化产业网络，打造自主可控、安全高效的产业链和供应链。</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highlight w:val="yellow"/>
              </w:rPr>
            </w:pPr>
            <w:r>
              <w:rPr>
                <w:rFonts w:hint="eastAsia" w:ascii="仿宋_GB2312" w:hAnsi="仿宋_GB2312" w:cs="仿宋_GB2312"/>
                <w:b/>
                <w:bCs/>
                <w:sz w:val="24"/>
                <w:szCs w:val="24"/>
              </w:rPr>
              <w:t>产业链共同体补链：</w:t>
            </w:r>
            <w:r>
              <w:rPr>
                <w:rFonts w:hint="eastAsia" w:ascii="仿宋_GB2312" w:hAnsi="仿宋_GB2312" w:cs="仿宋_GB2312"/>
                <w:sz w:val="24"/>
                <w:szCs w:val="24"/>
              </w:rPr>
              <w:t>支持龙头企业分类组建产业链上下游企业共同体，优化产业链分工协作体系。推动产业链协同创新和产品升级，加速推进一批关键核心技术产品的产业化及应用，打造一批战略性技术产品。</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供应链整合护链：</w:t>
            </w:r>
            <w:r>
              <w:rPr>
                <w:rFonts w:hint="eastAsia" w:ascii="仿宋_GB2312" w:hAnsi="仿宋_GB2312" w:cs="仿宋_GB2312"/>
                <w:sz w:val="24"/>
                <w:szCs w:val="24"/>
              </w:rPr>
              <w:t>推动龙头企业建立同准备份、降准备份机制，加快推进龙头企业开展海外矿产资源并购与国家合作，加强对镍、钴、铜、铁等金属资源的管控力，打造安全可控供应链。</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Cs w:val="30"/>
              </w:rPr>
            </w:pPr>
            <w:r>
              <w:rPr>
                <w:rFonts w:hint="eastAsia" w:ascii="仿宋_GB2312" w:hAnsi="仿宋_GB2312" w:cs="仿宋_GB2312"/>
                <w:b/>
                <w:bCs/>
                <w:sz w:val="24"/>
                <w:szCs w:val="24"/>
              </w:rPr>
              <w:t>产业公共服务平台畅链：</w:t>
            </w:r>
            <w:r>
              <w:rPr>
                <w:rFonts w:hint="eastAsia" w:ascii="仿宋_GB2312" w:hAnsi="仿宋_GB2312" w:cs="仿宋_GB2312"/>
                <w:sz w:val="24"/>
                <w:szCs w:val="24"/>
              </w:rPr>
              <w:t>围绕主导产业实际需求，完善试验验证、计量、标准、检验检测、认证、信息服务等基础服务体系，重点建设四大主导产业检验认证平台。</w:t>
            </w:r>
          </w:p>
        </w:tc>
      </w:tr>
    </w:tbl>
    <w:p>
      <w:pPr>
        <w:pageBreakBefore w:val="0"/>
        <w:kinsoku/>
        <w:wordWrap/>
        <w:overflowPunct/>
        <w:topLinePunct w:val="0"/>
        <w:autoSpaceDE/>
        <w:autoSpaceDN/>
        <w:bidi w:val="0"/>
        <w:spacing w:line="600" w:lineRule="exact"/>
        <w:ind w:firstLine="0" w:firstLineChars="0"/>
        <w:textAlignment w:val="auto"/>
        <w:rPr>
          <w:rFonts w:ascii="仿宋_GB2312"/>
          <w:szCs w:val="30"/>
        </w:rPr>
      </w:pP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仿宋_GB2312" w:hAnsi="楷体" w:cs="楷体"/>
                <w:szCs w:val="30"/>
              </w:rPr>
            </w:pPr>
            <w:r>
              <w:rPr>
                <w:rFonts w:hint="eastAsia" w:ascii="仿宋_GB2312" w:hAnsi="楷体" w:cs="楷体"/>
                <w:b/>
                <w:bCs/>
                <w:szCs w:val="30"/>
              </w:rPr>
              <w:t>专栏</w:t>
            </w:r>
            <w:r>
              <w:rPr>
                <w:rFonts w:ascii="仿宋_GB2312" w:hAnsi="楷体" w:cs="楷体"/>
                <w:b/>
                <w:bCs/>
                <w:szCs w:val="30"/>
              </w:rPr>
              <w:t>3-2</w:t>
            </w:r>
            <w:r>
              <w:rPr>
                <w:rFonts w:hint="eastAsia" w:ascii="仿宋_GB2312" w:hAnsi="楷体" w:cs="楷体"/>
                <w:b/>
                <w:bCs/>
                <w:szCs w:val="30"/>
              </w:rPr>
              <w:t>：四大主导产业重点项目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锂电新能源：</w:t>
            </w:r>
            <w:r>
              <w:rPr>
                <w:rFonts w:hint="eastAsia" w:ascii="仿宋_GB2312" w:hAnsi="仿宋_GB2312" w:cs="仿宋_GB2312"/>
                <w:sz w:val="24"/>
                <w:szCs w:val="24"/>
              </w:rPr>
              <w:t>宁德时代三期、四期、五期、宁德时代福鼎项目、宁德新能源科技三期、四期、五期、时代一汽、杉杉、青美新能源、厦钨、邦普循环产业园、国泰华荣、时代科士达、</w:t>
            </w:r>
            <w:r>
              <w:rPr>
                <w:rFonts w:hint="eastAsia" w:ascii="仿宋_GB2312" w:hAnsi="仿宋_GB2312" w:cs="仿宋_GB2312"/>
                <w:sz w:val="24"/>
                <w:szCs w:val="24"/>
                <w:lang w:eastAsia="zh-CN"/>
              </w:rPr>
              <w:t>凯欣、</w:t>
            </w:r>
            <w:r>
              <w:rPr>
                <w:rFonts w:hint="eastAsia" w:ascii="仿宋_GB2312" w:hAnsi="仿宋_GB2312" w:cs="仿宋_GB2312"/>
                <w:sz w:val="24"/>
                <w:szCs w:val="24"/>
              </w:rPr>
              <w:t>屏南时代、卓高新能源项目等。</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不锈钢新材料：</w:t>
            </w:r>
            <w:r>
              <w:rPr>
                <w:rFonts w:hint="eastAsia" w:ascii="仿宋_GB2312" w:hAnsi="仿宋_GB2312" w:cs="仿宋_GB2312"/>
                <w:sz w:val="24"/>
                <w:szCs w:val="24"/>
              </w:rPr>
              <w:t>青拓不锈钢60万吨冷轧、青拓50万吨不锈钢无缝钢管、青拓200万吨中厚板、青拓170万吨不锈钢棒线材加工及配套、青拓不锈钢新材料深加工产业园、周宁不锈钢深加工产业园、柘荣乍洋不锈钢产业园、奥展不锈钢产业示范园、宏泰不锈钢产业科技园、宏旺三期项目等。</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新能源汽车：</w:t>
            </w:r>
            <w:r>
              <w:rPr>
                <w:rFonts w:hint="eastAsia" w:ascii="仿宋_GB2312" w:hAnsi="仿宋_GB2312" w:cs="仿宋_GB2312"/>
                <w:sz w:val="24"/>
                <w:szCs w:val="24"/>
              </w:rPr>
              <w:t>上汽乘用车宁德产能项目（二期）、北京宝沃集团发动机生产研发基地建设项目、古田汽配工业园项目、东侨半导体汽车芯片项目等。</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Cs w:val="30"/>
              </w:rPr>
            </w:pPr>
            <w:r>
              <w:rPr>
                <w:rFonts w:hint="eastAsia" w:ascii="仿宋_GB2312" w:hAnsi="仿宋_GB2312" w:cs="仿宋_GB2312"/>
                <w:b/>
                <w:bCs/>
                <w:sz w:val="24"/>
                <w:szCs w:val="24"/>
              </w:rPr>
              <w:t>铜材料：</w:t>
            </w:r>
            <w:r>
              <w:rPr>
                <w:rFonts w:hint="eastAsia" w:ascii="仿宋_GB2312" w:hAnsi="仿宋_GB2312" w:cs="仿宋_GB2312"/>
                <w:sz w:val="24"/>
                <w:szCs w:val="24"/>
              </w:rPr>
              <w:t>正威宁德电子信息新材料科技城项目、宁德福浦铜精深加工项目、嘉元铜箔项目、东侨锂电铜箔项目等。</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259" w:name="_Toc54824394"/>
      <w:bookmarkStart w:id="260" w:name="_Toc55168314"/>
      <w:bookmarkStart w:id="261" w:name="_Toc55722879"/>
      <w:bookmarkStart w:id="262" w:name="_Toc55911849"/>
      <w:bookmarkStart w:id="263" w:name="_Toc51714652"/>
      <w:bookmarkStart w:id="264" w:name="_Toc31156"/>
      <w:bookmarkStart w:id="265" w:name="_Toc30826"/>
      <w:bookmarkStart w:id="266" w:name="_Toc12154"/>
      <w:bookmarkStart w:id="267" w:name="_Toc20361"/>
      <w:bookmarkStart w:id="268" w:name="_Toc13207"/>
      <w:bookmarkStart w:id="269" w:name="_Toc6395"/>
      <w:bookmarkStart w:id="270" w:name="_Toc11947"/>
      <w:bookmarkStart w:id="271" w:name="_Toc21554"/>
      <w:bookmarkStart w:id="272" w:name="_Toc57326011"/>
      <w:bookmarkStart w:id="273" w:name="_Toc61117349"/>
      <w:bookmarkStart w:id="274" w:name="_Toc57320164"/>
      <w:bookmarkStart w:id="275" w:name="_Toc27176"/>
      <w:bookmarkStart w:id="276" w:name="_Toc30491"/>
      <w:bookmarkStart w:id="277" w:name="_Toc10681"/>
      <w:bookmarkStart w:id="278" w:name="_Toc22427"/>
      <w:bookmarkStart w:id="279" w:name="_Toc58779711"/>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第二节</w:t>
      </w:r>
      <w:bookmarkEnd w:id="259"/>
      <w:bookmarkEnd w:id="260"/>
      <w:bookmarkEnd w:id="261"/>
      <w:bookmarkEnd w:id="262"/>
      <w:bookmarkEnd w:id="263"/>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加快发展三大优势产业</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推动清洁能源智慧发展，加速传统特色产业向价值链中高端迈进，培育一批契合实际、引领未来的新兴产业，引导三大优势产业深度融入主导产业生态圈。</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一、打造全国绿色能源新高地</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坚持多元结构优化，推动核能、风能、水电、太阳能、生物质能及储能一体化发展。到</w:t>
      </w:r>
      <w:r>
        <w:rPr>
          <w:rFonts w:ascii="仿宋_GB2312"/>
          <w:szCs w:val="30"/>
        </w:rPr>
        <w:t>2025</w:t>
      </w:r>
      <w:r>
        <w:rPr>
          <w:rFonts w:hint="eastAsia" w:ascii="仿宋_GB2312"/>
          <w:szCs w:val="30"/>
        </w:rPr>
        <w:t>年，</w:t>
      </w:r>
      <w:r>
        <w:rPr>
          <w:rFonts w:hint="eastAsia" w:ascii="仿宋_GB2312"/>
          <w:lang w:eastAsia="zh-CN"/>
        </w:rPr>
        <w:t>产值</w:t>
      </w:r>
      <w:r>
        <w:rPr>
          <w:rFonts w:hint="eastAsia" w:ascii="仿宋_GB2312"/>
          <w:szCs w:val="30"/>
        </w:rPr>
        <w:t>力争达400亿元。到</w:t>
      </w:r>
      <w:r>
        <w:rPr>
          <w:rFonts w:ascii="仿宋_GB2312"/>
          <w:szCs w:val="30"/>
        </w:rPr>
        <w:t>2035</w:t>
      </w:r>
      <w:r>
        <w:rPr>
          <w:rFonts w:hint="eastAsia" w:ascii="仿宋_GB2312"/>
          <w:szCs w:val="30"/>
        </w:rPr>
        <w:t>年，打造全国绿色能源新高地。</w:t>
      </w:r>
    </w:p>
    <w:p>
      <w:pPr>
        <w:pageBreakBefore w:val="0"/>
        <w:kinsoku/>
        <w:wordWrap/>
        <w:overflowPunct/>
        <w:topLinePunct w:val="0"/>
        <w:autoSpaceDE/>
        <w:autoSpaceDN/>
        <w:bidi w:val="0"/>
        <w:spacing w:line="600" w:lineRule="exact"/>
        <w:ind w:firstLine="602"/>
        <w:textAlignment w:val="auto"/>
        <w:rPr>
          <w:rFonts w:ascii="仿宋_GB2312"/>
          <w:color w:val="000000"/>
          <w:szCs w:val="30"/>
        </w:rPr>
      </w:pPr>
      <w:r>
        <w:rPr>
          <w:rFonts w:hint="eastAsia" w:ascii="仿宋_GB2312"/>
          <w:b/>
          <w:bCs/>
          <w:szCs w:val="30"/>
        </w:rPr>
        <w:t>加快建设新能源基地。</w:t>
      </w:r>
      <w:r>
        <w:rPr>
          <w:rFonts w:hint="eastAsia" w:ascii="仿宋_GB2312"/>
          <w:color w:val="000000"/>
          <w:szCs w:val="30"/>
        </w:rPr>
        <w:t>统筹推进核能、风能、水能、太阳能等发电产业发展。适度发展生物质能，探索生物柴油、燃料乙醇、沼气发电等生物能源发电，谋划实施大规模垃圾焚烧发电项目。建设风能并网发电信息服务平台，打造海上风电并网服务示范工程，促进海上风电和湾外养殖融合发展。</w:t>
      </w:r>
    </w:p>
    <w:p>
      <w:pPr>
        <w:pageBreakBefore w:val="0"/>
        <w:kinsoku/>
        <w:wordWrap/>
        <w:overflowPunct/>
        <w:topLinePunct w:val="0"/>
        <w:autoSpaceDE/>
        <w:autoSpaceDN/>
        <w:bidi w:val="0"/>
        <w:spacing w:line="600" w:lineRule="exact"/>
        <w:ind w:firstLine="602"/>
        <w:textAlignment w:val="auto"/>
        <w:rPr>
          <w:rFonts w:ascii="仿宋_GB2312"/>
          <w:b/>
          <w:bCs/>
          <w:color w:val="000000"/>
          <w:szCs w:val="30"/>
        </w:rPr>
      </w:pPr>
      <w:r>
        <w:rPr>
          <w:rFonts w:hint="eastAsia" w:ascii="仿宋_GB2312"/>
          <w:b/>
          <w:bCs/>
          <w:color w:val="000000"/>
          <w:szCs w:val="30"/>
        </w:rPr>
        <w:t>谋划发展光伏产业。</w:t>
      </w:r>
      <w:r>
        <w:rPr>
          <w:rFonts w:hint="eastAsia" w:ascii="仿宋_GB2312"/>
          <w:szCs w:val="30"/>
        </w:rPr>
        <w:t>紧密跟踪钙钛矿产业化进程，谋划布局钙钛矿材料、钙钛矿电池组件等光伏半导体材料与器件制备和生产，争取率先应用钙钛矿</w:t>
      </w:r>
      <w:r>
        <w:rPr>
          <w:rFonts w:hint="eastAsia" w:ascii="仿宋_GB2312"/>
          <w:color w:val="000000"/>
          <w:szCs w:val="30"/>
        </w:rPr>
        <w:t>光伏产品。创新“光伏+”模式，探索推进农光互补、屋顶光伏和建筑光伏一体化应用，推广建设光储充一体化充电站，积极发展太阳能并网服务。</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color w:val="000000"/>
          <w:szCs w:val="30"/>
        </w:rPr>
        <w:t>加速清洁能源与</w:t>
      </w:r>
      <w:r>
        <w:rPr>
          <w:rFonts w:hint="eastAsia" w:ascii="仿宋_GB2312"/>
          <w:b/>
          <w:bCs/>
          <w:szCs w:val="30"/>
        </w:rPr>
        <w:t>储能一体化发展。</w:t>
      </w:r>
      <w:r>
        <w:rPr>
          <w:rFonts w:hint="eastAsia" w:ascii="仿宋_GB2312"/>
          <w:color w:val="000000"/>
          <w:szCs w:val="30"/>
        </w:rPr>
        <w:t>积极融入国家新能源产业创新示范区建设，重点推动核能、风能、太阳能与电化学储</w:t>
      </w:r>
      <w:r>
        <w:rPr>
          <w:rFonts w:hint="eastAsia" w:ascii="仿宋_GB2312"/>
          <w:szCs w:val="30"/>
        </w:rPr>
        <w:t>能一体化发展，建设风光储输示范工程。搭建能源区块链公服平台，汇聚大型电站建设运维、发电、电网调度、交易等数据，降低清洁能源开发和运维成本。</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二、加快传统产业转型升级</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重点推动传统产业提档升级，加快推进智能化改造，向价值链中高端迈进。到</w:t>
      </w:r>
      <w:r>
        <w:rPr>
          <w:rFonts w:ascii="仿宋_GB2312"/>
          <w:szCs w:val="30"/>
        </w:rPr>
        <w:t>2025</w:t>
      </w:r>
      <w:r>
        <w:rPr>
          <w:rFonts w:hint="eastAsia" w:ascii="仿宋_GB2312"/>
          <w:szCs w:val="30"/>
        </w:rPr>
        <w:t>年，电机电器、食品加工、船舶修造、冶金特钢、合成革等传统产业</w:t>
      </w:r>
      <w:r>
        <w:rPr>
          <w:rFonts w:hint="eastAsia" w:ascii="仿宋_GB2312"/>
          <w:lang w:eastAsia="zh-CN"/>
        </w:rPr>
        <w:t>产值</w:t>
      </w:r>
      <w:r>
        <w:rPr>
          <w:rFonts w:hint="eastAsia" w:ascii="仿宋_GB2312"/>
          <w:szCs w:val="30"/>
        </w:rPr>
        <w:t>力争达到</w:t>
      </w:r>
      <w:r>
        <w:rPr>
          <w:rFonts w:ascii="仿宋_GB2312"/>
          <w:szCs w:val="30"/>
        </w:rPr>
        <w:t>1500</w:t>
      </w:r>
      <w:r>
        <w:rPr>
          <w:rFonts w:hint="eastAsia" w:ascii="仿宋_GB2312"/>
          <w:szCs w:val="30"/>
        </w:rPr>
        <w:t>亿元。</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推动电机电器两化融合。</w:t>
      </w:r>
      <w:r>
        <w:rPr>
          <w:rFonts w:hint="eastAsia" w:ascii="仿宋_GB2312"/>
          <w:szCs w:val="30"/>
        </w:rPr>
        <w:t>引导电机电器龙头企业开展整合并购，重塑闽东电机区域品牌。提高数控一代和智能装备配套率，推动骨干企业通过国家“两化融合”管理体系评定。加速融入新能源汽车产业生态圈，开发新能源汽车、两轮电动车驱动电机、电喷总成、稀土永磁电机等电机产品。引导传统电器企业向高性能医疗器械产品和健身体育用品布局，开发智能化保健康复产品。推动电机制造企业向系统集成和整体解决方案提供商转型。</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推动发展高值特色食品。</w:t>
      </w:r>
      <w:r>
        <w:rPr>
          <w:rFonts w:hint="eastAsia" w:ascii="仿宋_GB2312"/>
          <w:szCs w:val="30"/>
        </w:rPr>
        <w:t>重点培育水产品、茶叶、果蔬菌类、粮油加工、休闲保健食品等特色食品加工业。加大现代生物技术应用，融入新国货健康食品供应链，开发健康休闲零食，提升保健茶、山茶油、葡萄籽油、黄栀子油、酵素等功能性食品。加快推进标准化加工集中区建设，提升特色食品品牌影响力。</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推动船舶修造整合重组。</w:t>
      </w:r>
      <w:r>
        <w:rPr>
          <w:rFonts w:hint="eastAsia" w:ascii="仿宋_GB2312"/>
          <w:szCs w:val="30"/>
        </w:rPr>
        <w:t>加快重组整合，重点发展远洋渔船、深远海养殖装备、渔业机械、高端特种船、游艇制造等高技术船舶及海上大型光伏发电设施，支持船舶企业参与电动船舶核心零部件和关键设备研发，推动军民融合深度发展。加强绿色修船工艺技术改造，开拓外轮、“双高”船舶维修和改装产品。统一船舶拆解工艺标准，促进拆解废船资源循环利用。建立船舶修造大数据平台，提高修造精度。</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推动冶金特钢高端发展。</w:t>
      </w:r>
      <w:bookmarkStart w:id="280" w:name="_Hlk60737674"/>
      <w:r>
        <w:rPr>
          <w:rFonts w:hint="eastAsia" w:ascii="仿宋_GB2312"/>
          <w:szCs w:val="30"/>
        </w:rPr>
        <w:t>加快提升全市传统钢铁、精品钢、特钢行业品种结构优化和智能制造水平，</w:t>
      </w:r>
      <w:bookmarkEnd w:id="280"/>
      <w:r>
        <w:rPr>
          <w:rFonts w:hint="eastAsia" w:ascii="仿宋_GB2312"/>
          <w:szCs w:val="30"/>
        </w:rPr>
        <w:t>重点开发汽车、家用电器、船舶、高性能机械等领域钢品种，推动冶金产业向军民融合产业方向发展。鼓励龙头企业整合钢铁存量产能，通过产能置换扩大规模。推动钢铁企业开展行业能效对标工作，实施绿色改造，加快淘汰落后产能。</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推动合成革转型升级。</w:t>
      </w:r>
      <w:r>
        <w:rPr>
          <w:rFonts w:hint="eastAsia" w:ascii="仿宋_GB2312"/>
          <w:szCs w:val="30"/>
        </w:rPr>
        <w:t>全面开展园区集中布局生产，推进新工艺技术应用，建设合成革绿色生态园区。重点发展超细纤维合成革、水性合成革、无溶剂合成革以及高端功能性产品，并向印花、喷涂、压花、植绒等后段处理精深加工以及配套产业延伸。开发汽车革等新产品，主动融入新能源汽车主导产业发展。</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仿宋_GB2312" w:hAnsi="楷体" w:cs="楷体"/>
                <w:szCs w:val="30"/>
              </w:rPr>
            </w:pPr>
            <w:r>
              <w:rPr>
                <w:rFonts w:hint="eastAsia" w:ascii="仿宋_GB2312" w:hAnsi="楷体" w:cs="楷体"/>
                <w:b/>
                <w:bCs/>
                <w:szCs w:val="30"/>
              </w:rPr>
              <w:t>专栏</w:t>
            </w:r>
            <w:r>
              <w:rPr>
                <w:rFonts w:ascii="仿宋_GB2312" w:hAnsi="楷体" w:cs="楷体"/>
                <w:b/>
                <w:bCs/>
                <w:szCs w:val="30"/>
              </w:rPr>
              <w:t>3-3</w:t>
            </w:r>
            <w:r>
              <w:rPr>
                <w:rFonts w:hint="eastAsia" w:ascii="仿宋_GB2312" w:hAnsi="楷体" w:cs="楷体"/>
                <w:b/>
                <w:bCs/>
                <w:szCs w:val="30"/>
              </w:rPr>
              <w:t>：传统产业质量提升工程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仿宋_GB2312" w:hAnsi="仿宋_GB2312" w:cs="仿宋_GB2312"/>
                <w:sz w:val="24"/>
                <w:szCs w:val="24"/>
              </w:rPr>
            </w:pPr>
            <w:r>
              <w:rPr>
                <w:rFonts w:hint="eastAsia" w:ascii="仿宋_GB2312" w:hAnsi="仿宋_GB2312" w:cs="仿宋_GB2312"/>
                <w:sz w:val="24"/>
                <w:szCs w:val="24"/>
              </w:rPr>
              <w:t>引导传统产业提升产品质量、产品标准、区域品牌，推动骨干企业转型升级、传统产业提质增效，厚植新一轮发展优势。</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加强产品质量攻关</w:t>
            </w:r>
            <w:r>
              <w:rPr>
                <w:rFonts w:hint="eastAsia" w:ascii="仿宋_GB2312" w:hAnsi="仿宋_GB2312" w:cs="仿宋_GB2312"/>
                <w:sz w:val="24"/>
                <w:szCs w:val="24"/>
              </w:rPr>
              <w:t>。加强与国际优质产品的质量比对，找准质量短板，支持企业瞄准先进标杆实施技术改造。推广采用在线检测控制装置、智能化生产和物流系统及检测设备，提高质量在线监测、在线控制和产品全生命周期质量追溯能力。</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加快标准提档升级</w:t>
            </w:r>
            <w:r>
              <w:rPr>
                <w:rFonts w:hint="eastAsia" w:ascii="仿宋_GB2312" w:hAnsi="仿宋_GB2312" w:cs="仿宋_GB2312"/>
                <w:sz w:val="24"/>
                <w:szCs w:val="24"/>
              </w:rPr>
              <w:t>。开展重点行业国内外标准比对，加快转化先进适用的国际标准。围绕电机、保健医疗器械、保健食品、特种钢铁等领域，引导企业主动制定和实施先进标准，推进船舶修造等领域的军民标准通用化。</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Cs w:val="30"/>
              </w:rPr>
            </w:pPr>
            <w:r>
              <w:rPr>
                <w:rFonts w:hint="eastAsia" w:ascii="仿宋_GB2312" w:hAnsi="仿宋_GB2312" w:cs="仿宋_GB2312"/>
                <w:b/>
                <w:bCs/>
                <w:sz w:val="24"/>
                <w:szCs w:val="24"/>
              </w:rPr>
              <w:t>加速区域品牌建设</w:t>
            </w:r>
            <w:r>
              <w:rPr>
                <w:rFonts w:hint="eastAsia" w:ascii="仿宋_GB2312" w:hAnsi="仿宋_GB2312" w:cs="仿宋_GB2312"/>
                <w:sz w:val="24"/>
                <w:szCs w:val="24"/>
              </w:rPr>
              <w:t>。完善品牌建设、培育标准体系和评价体系，重点围绕电机电器、食品加工、船舶修造、特种钢铁等领域开展区域品牌培育，建设品牌推介平台，积极创建质量提升示范区。</w:t>
            </w:r>
          </w:p>
        </w:tc>
      </w:tr>
    </w:tbl>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三、培育未来产业竞争优势</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依托四大主导产业的溢出效应，做大产业生态圈，培育发展新材料、生物医药、海洋高新、电子信息、智能装备等新兴产业，到</w:t>
      </w:r>
      <w:r>
        <w:rPr>
          <w:rFonts w:ascii="仿宋_GB2312"/>
          <w:szCs w:val="30"/>
        </w:rPr>
        <w:t>2025</w:t>
      </w:r>
      <w:r>
        <w:rPr>
          <w:rFonts w:hint="eastAsia" w:ascii="仿宋_GB2312"/>
          <w:szCs w:val="30"/>
        </w:rPr>
        <w:t>年，新兴产业</w:t>
      </w:r>
      <w:r>
        <w:rPr>
          <w:rFonts w:hint="eastAsia" w:ascii="仿宋_GB2312"/>
          <w:lang w:eastAsia="zh-CN"/>
        </w:rPr>
        <w:t>产值</w:t>
      </w:r>
      <w:r>
        <w:rPr>
          <w:rFonts w:hint="eastAsia" w:ascii="仿宋_GB2312"/>
          <w:szCs w:val="30"/>
        </w:rPr>
        <w:t>力争突破100亿元。</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加速新型材料产能扩张。</w:t>
      </w:r>
      <w:r>
        <w:rPr>
          <w:rFonts w:hint="eastAsia" w:ascii="仿宋_GB2312"/>
          <w:szCs w:val="30"/>
        </w:rPr>
        <w:t>加快发展锆镁材料、高性能稀土磁性材料、钒钛材料等新材料，紧密衔接主导产业衍生新链条新集群。</w:t>
      </w:r>
      <w:bookmarkStart w:id="281" w:name="_Hlk60737950"/>
      <w:r>
        <w:rPr>
          <w:rFonts w:hint="eastAsia" w:ascii="仿宋_GB2312"/>
          <w:szCs w:val="30"/>
        </w:rPr>
        <w:t>适时推动锆系材料、铸造改性材料、单晶电熔铝产能扩张，加快纳米复合氧化锆和液态金属项目建成投产，推动轻量化镁铝合金、特种陶瓷材料、新型建筑模板、5G基站用陶瓷滤波器等项目建设。</w:t>
      </w:r>
      <w:bookmarkEnd w:id="281"/>
      <w:r>
        <w:rPr>
          <w:rFonts w:hint="eastAsia" w:ascii="仿宋_GB2312"/>
          <w:szCs w:val="30"/>
        </w:rPr>
        <w:t>加速推进锆镁材料在锂电新能源、新能源汽车、不锈钢等产业的应用，积极融入消费电子、航天航空、高端医疗器械等新兴产业。</w:t>
      </w:r>
      <w:bookmarkStart w:id="282" w:name="_Hlk60737970"/>
      <w:r>
        <w:rPr>
          <w:rFonts w:hint="eastAsia" w:ascii="仿宋_GB2312"/>
          <w:szCs w:val="30"/>
        </w:rPr>
        <w:t>推动核级锆、液态金属、轻合金、纳米复合氧化锆等新材料在军工领域的应用，</w:t>
      </w:r>
      <w:bookmarkEnd w:id="282"/>
      <w:r>
        <w:rPr>
          <w:rFonts w:hint="eastAsia" w:ascii="仿宋_GB2312"/>
          <w:szCs w:val="30"/>
        </w:rPr>
        <w:t>积极开发军民两用新材料新产品。</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推动生物医药创新发展。</w:t>
      </w:r>
      <w:r>
        <w:rPr>
          <w:rFonts w:hint="eastAsia" w:ascii="仿宋_GB2312"/>
          <w:szCs w:val="30"/>
        </w:rPr>
        <w:t>吸引省级以上公共实验室来宁设立分支机构，开展以太子参为原料的新型药物研究。</w:t>
      </w:r>
      <w:bookmarkStart w:id="283" w:name="_Hlk60738026"/>
      <w:r>
        <w:rPr>
          <w:rFonts w:hint="eastAsia" w:ascii="仿宋_GB2312"/>
          <w:szCs w:val="30"/>
        </w:rPr>
        <w:t>加速发展中药配方颗粒，建设中药数字化车间。</w:t>
      </w:r>
      <w:bookmarkEnd w:id="283"/>
      <w:r>
        <w:rPr>
          <w:rFonts w:hint="eastAsia" w:ascii="仿宋_GB2312"/>
          <w:szCs w:val="30"/>
        </w:rPr>
        <w:t>加快创新原研药、高端首仿药研发，重点推动乙肝治愈、抗肝癌等前沿重磅创新药研发和产业化，大力发展保健品等精深加工。</w:t>
      </w:r>
      <w:bookmarkStart w:id="284" w:name="_Hlk60738036"/>
      <w:r>
        <w:rPr>
          <w:rFonts w:hint="eastAsia" w:ascii="仿宋_GB2312"/>
          <w:szCs w:val="30"/>
        </w:rPr>
        <w:t>推进柘荣县生物医药产业集群发展工程，实施中药质量提升工程，保护开发畲药等民族药、地方特色药，打响“闽东药城”品牌。</w:t>
      </w:r>
    </w:p>
    <w:bookmarkEnd w:id="284"/>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深挖海洋新兴产业发展潜力。</w:t>
      </w:r>
      <w:r>
        <w:rPr>
          <w:rFonts w:hint="eastAsia" w:ascii="仿宋_GB2312"/>
          <w:szCs w:val="30"/>
        </w:rPr>
        <w:t>推动龙头企业研发新型高值海洋精深加工系列产品，开发海洋功能性营养保健食品和海洋生物制品。跟踪布局海岛波浪能等海洋新能源开发，探索建设波浪能海上试验场。突破深水装备关键技术，发展清洁能源高端装备制造，推进叶片、发电机、塔架等大型部件及风力发电整机研发生产，建设海上风电产业园。加快“数字海洋”建设，打造面向行业应用、军民融合的海洋大数据信息服务平台，加强海洋开发基础数据、海区环境状况、区域海洋气象等信息发布和服务。</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培育电子信息制造。</w:t>
      </w:r>
      <w:r>
        <w:rPr>
          <w:rFonts w:hint="eastAsia" w:ascii="仿宋_GB2312"/>
          <w:szCs w:val="30"/>
        </w:rPr>
        <w:t>发挥铜材料产业牵引作用，围绕锂电新能源和新能源汽车产业发展需求，布局发展核心基础元器件，谋划引进印刷电路板、锂电池电源管理芯片、电池管理系统芯片、电池驱动</w:t>
      </w:r>
      <w:r>
        <w:rPr>
          <w:rFonts w:ascii="仿宋_GB2312"/>
          <w:szCs w:val="30"/>
        </w:rPr>
        <w:t>IGBT</w:t>
      </w:r>
      <w:r>
        <w:rPr>
          <w:rFonts w:hint="eastAsia" w:ascii="仿宋_GB2312"/>
          <w:szCs w:val="30"/>
        </w:rPr>
        <w:t>元件、充电桩大功率器件，及智能仪表、车载终端等汽车电子元器件设计及制造项目。</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加强智能装备产业培育</w:t>
      </w:r>
      <w:r>
        <w:rPr>
          <w:rFonts w:hint="eastAsia" w:ascii="仿宋_GB2312"/>
          <w:szCs w:val="30"/>
        </w:rPr>
        <w:t>。充分发挥锂电新能源、新能源汽车智能制造优势，把握电机电器、食品加工等传统产业智能制造升级需求，重点配套引进工业机器人、数控机床等优质企业和智能制造系统集成、维修服务类企业。推动智能装备企业、系统集成企业与科研单位、用户单位协同创新，消纳本地需求市场，延伸产业链条。</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仿宋_GB2312" w:hAnsi="楷体" w:cs="楷体"/>
                <w:szCs w:val="30"/>
              </w:rPr>
            </w:pPr>
            <w:r>
              <w:rPr>
                <w:rFonts w:hint="eastAsia" w:ascii="仿宋_GB2312" w:hAnsi="楷体" w:cs="楷体"/>
                <w:b/>
                <w:bCs/>
                <w:szCs w:val="30"/>
              </w:rPr>
              <w:t>专栏</w:t>
            </w:r>
            <w:r>
              <w:rPr>
                <w:rFonts w:ascii="仿宋_GB2312" w:hAnsi="楷体" w:cs="楷体"/>
                <w:b/>
                <w:bCs/>
                <w:szCs w:val="30"/>
              </w:rPr>
              <w:t>3-4</w:t>
            </w:r>
            <w:r>
              <w:rPr>
                <w:rFonts w:hint="eastAsia" w:ascii="仿宋_GB2312" w:hAnsi="楷体" w:cs="楷体"/>
                <w:b/>
                <w:bCs/>
                <w:szCs w:val="30"/>
              </w:rPr>
              <w:t>：新能源新材料产业基础再造工程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锂电新能源产业：</w:t>
            </w:r>
            <w:r>
              <w:rPr>
                <w:rFonts w:hint="eastAsia" w:ascii="仿宋_GB2312" w:hAnsi="仿宋_GB2312" w:cs="仿宋_GB2312"/>
                <w:sz w:val="24"/>
                <w:szCs w:val="24"/>
              </w:rPr>
              <w:t>重点突破锂电池能量密度、循环寿命、安全性能、快充性能等技术瓶颈，跟进布局全固态电池、锂硫电池、锂空电池等前沿技术商业应用，推动钛酸锂、富锂锰基正极材料、镍钴锰铝电池材料等锂电新材料研发试验。</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新能源汽车产业：</w:t>
            </w:r>
            <w:r>
              <w:rPr>
                <w:rFonts w:hint="eastAsia" w:ascii="仿宋_GB2312" w:hAnsi="仿宋_GB2312" w:cs="仿宋_GB2312"/>
                <w:sz w:val="24"/>
                <w:szCs w:val="24"/>
              </w:rPr>
              <w:t>重点突破功率半导体、功能芯片、车载高精度传感器、车规级芯片、车载智能终端等关键零部件，开发高强钢、高性能铝合金等车辆轻量化关键材料。</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仿宋_GB2312" w:cs="仿宋_GB2312"/>
                <w:sz w:val="24"/>
                <w:szCs w:val="24"/>
              </w:rPr>
            </w:pPr>
            <w:r>
              <w:rPr>
                <w:rFonts w:hint="eastAsia" w:ascii="仿宋_GB2312" w:hAnsi="仿宋_GB2312" w:cs="仿宋_GB2312"/>
                <w:b/>
                <w:bCs/>
                <w:sz w:val="24"/>
                <w:szCs w:val="24"/>
              </w:rPr>
              <w:t>不锈钢新材料产业：</w:t>
            </w:r>
            <w:r>
              <w:rPr>
                <w:rFonts w:hint="eastAsia" w:ascii="仿宋_GB2312" w:hAnsi="仿宋_GB2312" w:cs="仿宋_GB2312"/>
                <w:sz w:val="24"/>
                <w:szCs w:val="24"/>
              </w:rPr>
              <w:t>重点突破高氮节镍奥氏体系列不锈钢新材料（</w:t>
            </w:r>
            <w:r>
              <w:rPr>
                <w:rFonts w:ascii="仿宋_GB2312" w:hAnsi="仿宋_GB2312" w:cs="仿宋_GB2312"/>
                <w:sz w:val="24"/>
                <w:szCs w:val="24"/>
              </w:rPr>
              <w:t>QN</w:t>
            </w:r>
            <w:r>
              <w:rPr>
                <w:rFonts w:hint="eastAsia" w:ascii="仿宋_GB2312" w:hAnsi="仿宋_GB2312" w:cs="仿宋_GB2312"/>
                <w:sz w:val="24"/>
                <w:szCs w:val="24"/>
              </w:rPr>
              <w:t>系列）的研发，聚力突破汽车用高端热作模具钢等战略品种。</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仿宋_GB2312" w:cs="仿宋_GB2312"/>
                <w:sz w:val="24"/>
                <w:szCs w:val="24"/>
              </w:rPr>
            </w:pPr>
            <w:r>
              <w:rPr>
                <w:rFonts w:hint="eastAsia" w:ascii="仿宋_GB2312" w:hAnsi="仿宋_GB2312" w:cs="仿宋_GB2312"/>
                <w:b/>
                <w:bCs/>
                <w:sz w:val="24"/>
                <w:szCs w:val="24"/>
              </w:rPr>
              <w:t>铜材料产业</w:t>
            </w:r>
            <w:r>
              <w:rPr>
                <w:rFonts w:hint="eastAsia" w:ascii="仿宋_GB2312" w:hAnsi="仿宋_GB2312" w:cs="仿宋_GB2312"/>
                <w:sz w:val="24"/>
                <w:szCs w:val="24"/>
              </w:rPr>
              <w:t>：</w:t>
            </w:r>
            <w:r>
              <w:rPr>
                <w:rFonts w:hint="eastAsia" w:ascii="仿宋_GB2312" w:hAnsi="仿宋_GB2312" w:cs="仿宋_GB2312"/>
                <w:sz w:val="24"/>
                <w:szCs w:val="24"/>
                <w:lang w:eastAsia="zh-CN"/>
              </w:rPr>
              <w:t>重</w:t>
            </w:r>
            <w:r>
              <w:rPr>
                <w:rFonts w:hint="eastAsia" w:ascii="仿宋_GB2312" w:hAnsi="仿宋_GB2312" w:cs="仿宋_GB2312"/>
                <w:sz w:val="24"/>
                <w:szCs w:val="24"/>
              </w:rPr>
              <w:t>点突破新能源汽车用高压线缆、动力电池用超薄铜箔、汽车散热和接插件材料、高强高弹铜合金材料等关键材料和产品，探索超前布局铜铟镓硒薄膜太阳能电池、铜氧基高温超导材料等新能源前沿领域的高端应用。</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Cs w:val="30"/>
              </w:rPr>
            </w:pPr>
            <w:r>
              <w:rPr>
                <w:rFonts w:hint="eastAsia" w:ascii="仿宋_GB2312" w:hAnsi="仿宋_GB2312" w:cs="仿宋_GB2312"/>
                <w:b/>
                <w:bCs/>
                <w:sz w:val="24"/>
                <w:szCs w:val="24"/>
              </w:rPr>
              <w:t>锆镁新材料产业：</w:t>
            </w:r>
            <w:r>
              <w:rPr>
                <w:rFonts w:hint="eastAsia" w:ascii="仿宋_GB2312" w:hAnsi="仿宋_GB2312" w:cs="仿宋_GB2312"/>
                <w:sz w:val="24"/>
                <w:szCs w:val="24"/>
              </w:rPr>
              <w:t>重点布局轻量化镁合金、纳米锆、液态金属等技术，加快研发先进陶瓷材料，突破陶瓷烧结等先进工艺。</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szCs w:val="30"/>
        </w:rPr>
      </w:pPr>
      <w:bookmarkStart w:id="285" w:name="_Toc58779712"/>
      <w:bookmarkStart w:id="286" w:name="_Toc23156"/>
      <w:bookmarkStart w:id="287" w:name="_Toc11428"/>
      <w:bookmarkStart w:id="288" w:name="_Toc32725"/>
      <w:bookmarkStart w:id="289" w:name="_Toc1286"/>
      <w:bookmarkStart w:id="290" w:name="_Toc22364"/>
      <w:bookmarkStart w:id="291" w:name="_Toc30961"/>
      <w:bookmarkStart w:id="292" w:name="_Toc18806"/>
      <w:bookmarkStart w:id="293" w:name="_Toc25375"/>
      <w:bookmarkStart w:id="294" w:name="_Toc27890"/>
      <w:bookmarkStart w:id="295" w:name="_Toc7184"/>
      <w:bookmarkStart w:id="296" w:name="_Toc1565"/>
      <w:bookmarkStart w:id="297" w:name="_Toc26123"/>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szCs w:val="30"/>
        </w:rPr>
      </w:pPr>
      <w:r>
        <w:drawing>
          <wp:inline distT="0" distB="0" distL="0" distR="0">
            <wp:extent cx="7712710" cy="4952365"/>
            <wp:effectExtent l="0" t="0" r="63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rot="16200000">
                      <a:off x="0" y="0"/>
                      <a:ext cx="7712710" cy="4952365"/>
                    </a:xfrm>
                    <a:prstGeom prst="rect">
                      <a:avLst/>
                    </a:prstGeom>
                  </pic:spPr>
                </pic:pic>
              </a:graphicData>
            </a:graphic>
          </wp:inline>
        </w:drawing>
      </w:r>
    </w:p>
    <w:p>
      <w:pPr>
        <w:pageBreakBefore w:val="0"/>
        <w:kinsoku/>
        <w:wordWrap/>
        <w:overflowPunct/>
        <w:topLinePunct w:val="0"/>
        <w:autoSpaceDE/>
        <w:autoSpaceDN/>
        <w:bidi w:val="0"/>
        <w:spacing w:line="600" w:lineRule="exact"/>
        <w:ind w:firstLine="0" w:firstLineChars="0"/>
        <w:jc w:val="center"/>
        <w:textAlignment w:val="auto"/>
        <w:rPr>
          <w:rFonts w:ascii="仿宋_GB2312"/>
          <w:b/>
          <w:bCs/>
          <w:szCs w:val="30"/>
        </w:rPr>
      </w:pPr>
      <w:r>
        <w:rPr>
          <w:rFonts w:hint="eastAsia" w:ascii="仿宋_GB2312"/>
          <w:b/>
          <w:bCs/>
          <w:szCs w:val="30"/>
        </w:rPr>
        <w:t>图3-1</w:t>
      </w:r>
      <w:r>
        <w:rPr>
          <w:rFonts w:ascii="仿宋_GB2312"/>
          <w:b/>
          <w:bCs/>
          <w:szCs w:val="30"/>
        </w:rPr>
        <w:t xml:space="preserve"> </w:t>
      </w:r>
      <w:r>
        <w:rPr>
          <w:rFonts w:hint="eastAsia" w:ascii="仿宋_GB2312"/>
          <w:b/>
          <w:bCs/>
          <w:szCs w:val="30"/>
        </w:rPr>
        <w:t>全市生产力布局图</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298" w:name="_Toc61117350"/>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第三节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大力培育数字经济</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加速推进数字产业化和产业数字化，激发实体经济新动能、培育数字应用新业态，</w:t>
      </w:r>
      <w:bookmarkStart w:id="299" w:name="_Hlk60738135"/>
      <w:r>
        <w:rPr>
          <w:rFonts w:hint="eastAsia" w:ascii="仿宋_GB2312"/>
          <w:szCs w:val="30"/>
        </w:rPr>
        <w:t>构筑驱动宁德经济高质量发展的新引擎。</w:t>
      </w:r>
      <w:bookmarkEnd w:id="299"/>
      <w:r>
        <w:rPr>
          <w:rFonts w:hint="eastAsia" w:ascii="仿宋_GB2312"/>
          <w:szCs w:val="30"/>
        </w:rPr>
        <w:t>至</w:t>
      </w:r>
      <w:r>
        <w:rPr>
          <w:rFonts w:ascii="仿宋_GB2312"/>
          <w:szCs w:val="30"/>
        </w:rPr>
        <w:t>2025</w:t>
      </w:r>
      <w:r>
        <w:rPr>
          <w:rFonts w:hint="eastAsia" w:ascii="仿宋_GB2312"/>
          <w:szCs w:val="30"/>
        </w:rPr>
        <w:t>年，数字经济增加值年均增长10%以上。</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一、加快数字产业化发展步伐</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pacing w:val="-6"/>
          <w:szCs w:val="30"/>
        </w:rPr>
        <w:t>立足宁德产业基础，推动新一代信息技术与产业深度融合，培育人工智能、物联网、云计算、大数据、第五代移动通信、区块链等新技术新应用产业，扶持发展一批数字产业园区。主动融入国家数字经济创新发展试验区建设，积极引入区域性行业性数据服务中心、技术产品研发中心等功能性平台，发展信息数据存储、分析挖掘、技术和业务流程外包、云服务等第三方服务。推进电动化和智能化场景应用，引入大数据基础软件、行业应用软件、系统集成、汽车管理控制软件等领域的企业，培育车联网、软件服务、信息技术咨询等业态。</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二、加速推进产业数字化转型</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推动工业化和信息化深度融合，</w:t>
      </w:r>
      <w:bookmarkStart w:id="300" w:name="_Hlk58424012"/>
      <w:r>
        <w:rPr>
          <w:rFonts w:hint="eastAsia" w:ascii="仿宋_GB2312"/>
          <w:szCs w:val="30"/>
        </w:rPr>
        <w:t>打造“宁德智造”标杆</w:t>
      </w:r>
      <w:bookmarkEnd w:id="300"/>
      <w:r>
        <w:rPr>
          <w:rFonts w:hint="eastAsia" w:ascii="仿宋_GB2312"/>
          <w:szCs w:val="30"/>
        </w:rPr>
        <w:t>。提升服务业数字化能力，构建高端化、智能化、网络化服务业发展新格局，建设服务业数字化转型示范区。</w:t>
      </w:r>
    </w:p>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推进制造业数字化转型。</w:t>
      </w:r>
      <w:r>
        <w:rPr>
          <w:rFonts w:hint="eastAsia" w:ascii="仿宋_GB2312"/>
          <w:szCs w:val="30"/>
        </w:rPr>
        <w:t>开展工业互联网“十百千万”工程，引入工业互联网研究中心，培育新型工业互联网应用示范企业。建设市云计算中心，引导企业业务系统向云端迁移，打造“大数据</w:t>
      </w:r>
      <w:r>
        <w:rPr>
          <w:rFonts w:ascii="仿宋_GB2312"/>
          <w:szCs w:val="30"/>
        </w:rPr>
        <w:t>+</w:t>
      </w:r>
      <w:r>
        <w:rPr>
          <w:rFonts w:hint="eastAsia" w:ascii="仿宋_GB2312"/>
          <w:szCs w:val="30"/>
        </w:rPr>
        <w:t>”产业深度融合示范项目。实施智能化改造工程，加快推进锂电新能源数据精益智能制造工厂建设，形成智能生产线、数字化车间、智慧工厂示范。发展服务型制造，推广基于互联网的故障预警、远程维护、质量诊断等在线增值服务，推动制造企业向全生命周期管理、提供系统解决方案和信息增值服务等转变。</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仿宋_GB2312" w:hAnsi="楷体" w:cs="楷体"/>
                <w:szCs w:val="30"/>
              </w:rPr>
            </w:pPr>
            <w:r>
              <w:rPr>
                <w:rFonts w:hint="eastAsia" w:ascii="仿宋_GB2312" w:hAnsi="楷体" w:cs="楷体"/>
                <w:b/>
                <w:bCs/>
                <w:szCs w:val="30"/>
              </w:rPr>
              <w:t>专栏</w:t>
            </w:r>
            <w:r>
              <w:rPr>
                <w:rFonts w:ascii="仿宋_GB2312" w:hAnsi="楷体" w:cs="楷体"/>
                <w:b/>
                <w:bCs/>
                <w:szCs w:val="30"/>
              </w:rPr>
              <w:t>3-5</w:t>
            </w:r>
            <w:r>
              <w:rPr>
                <w:rFonts w:hint="eastAsia" w:ascii="仿宋_GB2312" w:hAnsi="楷体" w:cs="楷体"/>
                <w:b/>
                <w:bCs/>
                <w:szCs w:val="30"/>
              </w:rPr>
              <w:t>：制造业数字化转型行动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b/>
                <w:bCs/>
                <w:sz w:val="24"/>
                <w:szCs w:val="24"/>
              </w:rPr>
            </w:pPr>
            <w:r>
              <w:rPr>
                <w:rFonts w:hint="eastAsia" w:ascii="仿宋_GB2312" w:hAnsi="仿宋_GB2312" w:cs="仿宋_GB2312"/>
                <w:b/>
                <w:bCs/>
                <w:sz w:val="24"/>
                <w:szCs w:val="24"/>
              </w:rPr>
              <w:t>装备及器件制造业。</w:t>
            </w:r>
            <w:r>
              <w:rPr>
                <w:rFonts w:hint="eastAsia" w:ascii="仿宋_GB2312" w:hAnsi="仿宋_GB2312" w:cs="仿宋_GB2312"/>
                <w:sz w:val="24"/>
                <w:szCs w:val="24"/>
              </w:rPr>
              <w:t>在锂电新能源、新能源汽车、电机电器、船舶修造等离散制造行业，加快智能制造单元、智能生产线、数字化车间建设，推广协同设计、虚拟仿真等新模式，推广个性化定制和柔性化生产，打造网络化协同制造示范企业。支持龙头企业向“制造</w:t>
            </w:r>
            <w:r>
              <w:rPr>
                <w:rFonts w:ascii="仿宋_GB2312" w:hAnsi="仿宋_GB2312" w:cs="仿宋_GB2312"/>
                <w:sz w:val="24"/>
                <w:szCs w:val="24"/>
              </w:rPr>
              <w:t>+</w:t>
            </w:r>
            <w:r>
              <w:rPr>
                <w:rFonts w:hint="eastAsia" w:ascii="仿宋_GB2312" w:hAnsi="仿宋_GB2312" w:cs="仿宋_GB2312"/>
                <w:sz w:val="24"/>
                <w:szCs w:val="24"/>
              </w:rPr>
              <w:t>服务”转型，开发总集成、总承包业务。</w:t>
            </w:r>
          </w:p>
          <w:p>
            <w:pPr>
              <w:keepNext w:val="0"/>
              <w:keepLines w:val="0"/>
              <w:pageBreakBefore w:val="0"/>
              <w:widowControl w:val="0"/>
              <w:kinsoku/>
              <w:wordWrap/>
              <w:overflowPunct/>
              <w:topLinePunct w:val="0"/>
              <w:autoSpaceDE/>
              <w:autoSpaceDN/>
              <w:bidi w:val="0"/>
              <w:adjustRightInd/>
              <w:snapToGrid/>
              <w:spacing w:line="400" w:lineRule="exact"/>
              <w:ind w:firstLine="441" w:firstLineChars="183"/>
              <w:textAlignment w:val="auto"/>
              <w:rPr>
                <w:rFonts w:ascii="仿宋_GB2312" w:cs="仿宋_GB2312"/>
                <w:sz w:val="24"/>
                <w:szCs w:val="24"/>
              </w:rPr>
            </w:pPr>
            <w:r>
              <w:rPr>
                <w:rFonts w:hint="eastAsia" w:ascii="仿宋_GB2312" w:hAnsi="仿宋_GB2312" w:cs="仿宋_GB2312"/>
                <w:b/>
                <w:bCs/>
                <w:sz w:val="24"/>
                <w:szCs w:val="24"/>
              </w:rPr>
              <w:t>材料工业。</w:t>
            </w:r>
            <w:r>
              <w:rPr>
                <w:rFonts w:hint="eastAsia" w:ascii="仿宋_GB2312" w:hAnsi="仿宋_GB2312" w:cs="仿宋_GB2312"/>
                <w:sz w:val="24"/>
                <w:szCs w:val="24"/>
              </w:rPr>
              <w:t>面向不锈钢、铜材料、冶金特钢等行业，加快建设智慧工厂，推进三维虚拟技术应用，提升资源配置优化、实时在线优化、生产管理精细化和智能决策科学化水平，开展基于互联网的供应链管理模式创新试点。建设绿色安全制造信息化示范项目，构建具备提升资源回收、作业调度、能源效率的智能监测监管体系。</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Cs w:val="30"/>
              </w:rPr>
            </w:pPr>
            <w:r>
              <w:rPr>
                <w:rFonts w:hint="eastAsia" w:ascii="仿宋_GB2312" w:hAnsi="仿宋_GB2312" w:cs="仿宋_GB2312"/>
                <w:b/>
                <w:bCs/>
                <w:sz w:val="24"/>
                <w:szCs w:val="24"/>
              </w:rPr>
              <w:t>消费品制造业。</w:t>
            </w:r>
            <w:r>
              <w:rPr>
                <w:rFonts w:hint="eastAsia" w:ascii="仿宋_GB2312" w:hAnsi="仿宋_GB2312" w:cs="仿宋_GB2312"/>
                <w:sz w:val="24"/>
                <w:szCs w:val="24"/>
              </w:rPr>
              <w:t>面向食品加工、生物医药等行业，鼓励企业应用智能生产设备、检测设备、物流设备，采用企业资源规划系统（</w:t>
            </w:r>
            <w:r>
              <w:rPr>
                <w:rFonts w:ascii="仿宋_GB2312" w:hAnsi="仿宋_GB2312" w:cs="仿宋_GB2312"/>
                <w:sz w:val="24"/>
                <w:szCs w:val="24"/>
              </w:rPr>
              <w:t>ERP</w:t>
            </w:r>
            <w:r>
              <w:rPr>
                <w:rFonts w:hint="eastAsia" w:ascii="仿宋_GB2312" w:hAnsi="仿宋_GB2312" w:cs="仿宋_GB2312"/>
                <w:sz w:val="24"/>
                <w:szCs w:val="24"/>
              </w:rPr>
              <w:t>）、生产执行制造系统（</w:t>
            </w:r>
            <w:r>
              <w:rPr>
                <w:rFonts w:ascii="仿宋_GB2312" w:hAnsi="仿宋_GB2312" w:cs="仿宋_GB2312"/>
                <w:sz w:val="24"/>
                <w:szCs w:val="24"/>
              </w:rPr>
              <w:t>MES</w:t>
            </w:r>
            <w:r>
              <w:rPr>
                <w:rFonts w:hint="eastAsia" w:ascii="仿宋_GB2312" w:hAnsi="仿宋_GB2312" w:cs="仿宋_GB2312"/>
                <w:sz w:val="24"/>
                <w:szCs w:val="24"/>
              </w:rPr>
              <w:t>）等信息化系统。引入第三方产业互联网平台，以专项资金、金融扶持形式鼓励平台为中小微企业提供云计算、大数据、人工智能等技术服务。</w:t>
            </w:r>
          </w:p>
        </w:tc>
      </w:tr>
    </w:tbl>
    <w:p>
      <w:pPr>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b/>
          <w:bCs/>
          <w:szCs w:val="30"/>
        </w:rPr>
        <w:t>推进服务业数字化转型。</w:t>
      </w:r>
      <w:r>
        <w:rPr>
          <w:rFonts w:hint="eastAsia" w:ascii="仿宋_GB2312"/>
          <w:szCs w:val="30"/>
        </w:rPr>
        <w:t>建设宁德物流信息平台，推动铁路企业与港口、物流等企业信息系统对接。建设数字化供应链金融平台，推广“区块链</w:t>
      </w:r>
      <w:r>
        <w:rPr>
          <w:rFonts w:ascii="仿宋_GB2312"/>
          <w:szCs w:val="30"/>
        </w:rPr>
        <w:t>+</w:t>
      </w:r>
      <w:r>
        <w:rPr>
          <w:rFonts w:hint="eastAsia" w:ascii="仿宋_GB2312"/>
          <w:szCs w:val="30"/>
        </w:rPr>
        <w:t>金融”等新模式应用。以平台经济、总部经济为突破口，探索打造全国锂电回收利用平台等主导产业配套互联网平台。推动大型专业市场数字化转型，推广“线上引流</w:t>
      </w:r>
      <w:r>
        <w:rPr>
          <w:rFonts w:ascii="仿宋_GB2312"/>
          <w:szCs w:val="30"/>
        </w:rPr>
        <w:t>+</w:t>
      </w:r>
      <w:r>
        <w:rPr>
          <w:rFonts w:hint="eastAsia" w:ascii="仿宋_GB2312"/>
          <w:szCs w:val="30"/>
        </w:rPr>
        <w:t>实体批发</w:t>
      </w:r>
      <w:r>
        <w:rPr>
          <w:rFonts w:ascii="仿宋_GB2312"/>
          <w:szCs w:val="30"/>
        </w:rPr>
        <w:t>+</w:t>
      </w:r>
      <w:r>
        <w:rPr>
          <w:rFonts w:hint="eastAsia" w:ascii="仿宋_GB2312"/>
          <w:szCs w:val="30"/>
        </w:rPr>
        <w:t>直播带货”的营销模式。采用“互联网</w:t>
      </w:r>
      <w:r>
        <w:rPr>
          <w:rFonts w:ascii="仿宋_GB2312"/>
          <w:szCs w:val="30"/>
        </w:rPr>
        <w:t>+</w:t>
      </w:r>
      <w:r>
        <w:rPr>
          <w:rFonts w:hint="eastAsia" w:ascii="仿宋_GB2312"/>
          <w:szCs w:val="30"/>
        </w:rPr>
        <w:t>”养老新模式，推广智慧养老院建设，争创智慧健康养老应用示范基地。推进智慧景区建设，打造全域旅游智慧化平台。引进动漫游戏、工业设计、网络文学、网络影视等领域的企业，布局宁德数字创意经济集聚区。</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仿宋_GB2312" w:hAnsi="楷体" w:cs="楷体"/>
                <w:szCs w:val="30"/>
              </w:rPr>
            </w:pPr>
            <w:r>
              <w:rPr>
                <w:rFonts w:hint="eastAsia" w:ascii="仿宋_GB2312" w:hAnsi="楷体" w:cs="楷体"/>
                <w:b/>
                <w:bCs/>
                <w:szCs w:val="30"/>
              </w:rPr>
              <w:t>专栏</w:t>
            </w:r>
            <w:r>
              <w:rPr>
                <w:rFonts w:ascii="仿宋_GB2312" w:hAnsi="楷体" w:cs="楷体"/>
                <w:b/>
                <w:bCs/>
                <w:szCs w:val="30"/>
              </w:rPr>
              <w:t>3-6</w:t>
            </w:r>
            <w:r>
              <w:rPr>
                <w:rFonts w:hint="eastAsia" w:ascii="仿宋_GB2312" w:hAnsi="楷体" w:cs="楷体"/>
                <w:b/>
                <w:bCs/>
                <w:szCs w:val="30"/>
              </w:rPr>
              <w:t>：服务业数字化转型行动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智慧物流。</w:t>
            </w:r>
            <w:r>
              <w:rPr>
                <w:rFonts w:hint="eastAsia" w:ascii="仿宋_GB2312" w:hAnsi="仿宋_GB2312" w:cs="仿宋_GB2312"/>
                <w:sz w:val="24"/>
                <w:szCs w:val="24"/>
              </w:rPr>
              <w:t>推广智能仓储，发展仓配一体化服务，引进布局无人仓、无人车、无人机等新一代智能物流设施。着力打造宁德物流信息平台，推进智能化改造和上下游标准衔接，推广标准化装载单元。有序推进智慧物流国际化发展，围绕大宗原料等运输需求，面向全球提供端到端的供应链解决方案。</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智慧旅游。</w:t>
            </w:r>
            <w:r>
              <w:rPr>
                <w:rFonts w:hint="eastAsia" w:ascii="仿宋_GB2312" w:hAnsi="仿宋_GB2312" w:cs="仿宋_GB2312"/>
                <w:sz w:val="24"/>
                <w:szCs w:val="24"/>
              </w:rPr>
              <w:t>完善</w:t>
            </w:r>
            <w:r>
              <w:rPr>
                <w:rFonts w:ascii="仿宋_GB2312" w:hAnsi="仿宋_GB2312" w:cs="仿宋_GB2312"/>
                <w:sz w:val="24"/>
                <w:szCs w:val="24"/>
              </w:rPr>
              <w:t>4A</w:t>
            </w:r>
            <w:r>
              <w:rPr>
                <w:rFonts w:hint="eastAsia" w:ascii="仿宋_GB2312" w:hAnsi="仿宋_GB2312" w:cs="仿宋_GB2312"/>
                <w:sz w:val="24"/>
                <w:szCs w:val="24"/>
              </w:rPr>
              <w:t>级以上景区在线预订、电子讲解、智能导游等功能，建设智慧景区。推进旅游产品和服务电子商务化，发展在线旅游租车、在线度假租赁等新业态，开展个性化旅游定制服务。</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Cs w:val="30"/>
              </w:rPr>
            </w:pPr>
            <w:r>
              <w:rPr>
                <w:rFonts w:hint="eastAsia" w:ascii="仿宋_GB2312" w:hAnsi="仿宋_GB2312" w:cs="仿宋_GB2312"/>
                <w:b/>
                <w:bCs/>
                <w:sz w:val="24"/>
                <w:szCs w:val="24"/>
              </w:rPr>
              <w:t>智慧养老。</w:t>
            </w:r>
            <w:r>
              <w:rPr>
                <w:rFonts w:hint="eastAsia" w:ascii="仿宋_GB2312" w:hAnsi="仿宋_GB2312" w:cs="仿宋_GB2312"/>
                <w:sz w:val="24"/>
                <w:szCs w:val="24"/>
              </w:rPr>
              <w:t>建设智慧养老院，发展居家养老、健康管理咨询、生活照护等服务新模式，打造智能化“医养结合”养老服务机构试点。推广健康管理类可穿戴设备、智能养老监护设备、生活服务机器人等新型健康养老设备。</w:t>
            </w:r>
          </w:p>
        </w:tc>
      </w:tr>
    </w:tbl>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三、培育推广新业态新模式</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推动技术、管理、商业模式等各类创新与经济生活深度融合，促进线上线下联动发展。创新电子商务服务模式，探索定制化生产和精准营销。整合线下实体商超和电商平台，推广全链条、全渠道的智能营销方式，发展智慧无人新零售、体验消费、社交电商、近场零售等新业态新模式。培育发展物流分享，探索推广“无车承运人”模式。大力发展以大数据征信与风控、人工智能风控等为代表的新型金融业态。培育发展大数据智能医疗等新业态。引导上汽乘用车和出行服务企业共建“一站式”服务平台，打造“出行即服务”新型出行服务模式</w:t>
      </w:r>
      <w:r>
        <w:rPr>
          <w:rFonts w:hint="eastAsia" w:ascii="仿宋_GB2312" w:hAnsi="等线"/>
          <w:szCs w:val="30"/>
        </w:rPr>
        <w:t>。</w:t>
      </w:r>
    </w:p>
    <w:bookmarkEnd w:id="232"/>
    <w:bookmarkEnd w:id="233"/>
    <w:bookmarkEnd w:id="234"/>
    <w:bookmarkEnd w:id="235"/>
    <w:bookmarkEnd w:id="236"/>
    <w:bookmarkEnd w:id="237"/>
    <w:bookmarkEnd w:id="238"/>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301" w:name="_Toc58779713"/>
      <w:bookmarkStart w:id="302" w:name="_Toc10273"/>
      <w:bookmarkStart w:id="303" w:name="_Toc7591"/>
      <w:bookmarkStart w:id="304" w:name="_Toc14990"/>
      <w:bookmarkStart w:id="305" w:name="_Toc30045"/>
      <w:bookmarkStart w:id="306" w:name="_Toc9909"/>
      <w:bookmarkStart w:id="307" w:name="_Toc20792"/>
      <w:bookmarkStart w:id="308" w:name="_Toc7224"/>
      <w:bookmarkStart w:id="309" w:name="_Toc12446"/>
      <w:bookmarkStart w:id="310" w:name="_Toc12236"/>
      <w:bookmarkStart w:id="311" w:name="_Toc12482"/>
      <w:bookmarkStart w:id="312" w:name="_Toc15657"/>
      <w:bookmarkStart w:id="313" w:name="_Toc61117351"/>
      <w:bookmarkStart w:id="314" w:name="_Toc2691"/>
    </w:p>
    <w:p>
      <w:pPr>
        <w:pStyle w:val="4"/>
        <w:pageBreakBefore w:val="0"/>
        <w:numPr>
          <w:ilvl w:val="0"/>
          <w:numId w:val="4"/>
        </w:numPr>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r>
        <w:rPr>
          <w:rFonts w:ascii="楷体" w:hAnsi="楷体" w:eastAsia="楷体"/>
          <w:sz w:val="32"/>
          <w:szCs w:val="36"/>
        </w:rPr>
        <w:t xml:space="preserve"> </w:t>
      </w:r>
      <w:r>
        <w:rPr>
          <w:rFonts w:hint="eastAsia" w:ascii="楷体" w:hAnsi="楷体" w:eastAsia="楷体"/>
          <w:sz w:val="32"/>
          <w:szCs w:val="36"/>
        </w:rPr>
        <w:t>发展壮大现代服务业</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pPr>
        <w:numPr>
          <w:ilvl w:val="0"/>
          <w:numId w:val="0"/>
        </w:numPr>
      </w:pPr>
    </w:p>
    <w:p>
      <w:pPr>
        <w:pageBreakBefore w:val="0"/>
        <w:kinsoku/>
        <w:wordWrap/>
        <w:overflowPunct/>
        <w:topLinePunct w:val="0"/>
        <w:autoSpaceDE/>
        <w:autoSpaceDN/>
        <w:bidi w:val="0"/>
        <w:spacing w:line="600" w:lineRule="exact"/>
        <w:ind w:firstLine="600"/>
        <w:textAlignment w:val="auto"/>
        <w:rPr>
          <w:rFonts w:ascii="仿宋_GB2312"/>
          <w:spacing w:val="-6"/>
          <w:szCs w:val="30"/>
        </w:rPr>
      </w:pPr>
      <w:r>
        <w:rPr>
          <w:rFonts w:hint="eastAsia" w:ascii="仿宋_GB2312"/>
          <w:spacing w:val="-6"/>
          <w:szCs w:val="30"/>
        </w:rPr>
        <w:t>推动现代服务业同制造业、现代农业深度融合，推进现代服务业规模化、数字化、标准化、品牌化发展，加速推动生产性服务业向专业化和价值链高端延伸，推动生活性服务业向高品质和多样化升级。到</w:t>
      </w:r>
      <w:r>
        <w:rPr>
          <w:rFonts w:ascii="仿宋_GB2312"/>
          <w:spacing w:val="-6"/>
          <w:szCs w:val="30"/>
        </w:rPr>
        <w:t>2025</w:t>
      </w:r>
      <w:r>
        <w:rPr>
          <w:rFonts w:hint="eastAsia" w:ascii="仿宋_GB2312"/>
          <w:spacing w:val="-6"/>
          <w:szCs w:val="30"/>
        </w:rPr>
        <w:t>年，服务业增加值占地区生产总值比重力争达</w:t>
      </w:r>
      <w:r>
        <w:rPr>
          <w:rFonts w:ascii="仿宋_GB2312"/>
          <w:spacing w:val="-6"/>
          <w:szCs w:val="30"/>
        </w:rPr>
        <w:t>40%</w:t>
      </w:r>
      <w:r>
        <w:rPr>
          <w:rFonts w:hint="eastAsia" w:ascii="仿宋_GB2312"/>
          <w:spacing w:val="-6"/>
          <w:szCs w:val="30"/>
        </w:rPr>
        <w:t>以上。</w:t>
      </w:r>
    </w:p>
    <w:p>
      <w:pPr>
        <w:pStyle w:val="5"/>
        <w:pageBreakBefore w:val="0"/>
        <w:numPr>
          <w:ilvl w:val="255"/>
          <w:numId w:val="0"/>
        </w:numPr>
        <w:kinsoku/>
        <w:wordWrap/>
        <w:overflowPunct/>
        <w:topLinePunct w:val="0"/>
        <w:autoSpaceDE/>
        <w:autoSpaceDN/>
        <w:bidi w:val="0"/>
        <w:spacing w:line="600" w:lineRule="exact"/>
        <w:ind w:left="602"/>
        <w:textAlignment w:val="auto"/>
        <w:rPr>
          <w:rFonts w:ascii="仿宋_GB2312"/>
          <w:szCs w:val="30"/>
        </w:rPr>
      </w:pPr>
      <w:r>
        <w:rPr>
          <w:rFonts w:hint="eastAsia" w:ascii="仿宋_GB2312"/>
          <w:szCs w:val="30"/>
        </w:rPr>
        <w:t>一、现代物流</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围绕降低物流成本、提高物流效率，培育引进具有全产业链服务能力的大型第三方物流平台，开展供应链试点示范，引导物流企业融入制造业企业供应链管理。鼓励物流外包，发展零库存管理、线边物流等精益物流。建设港航服务区，发展临港仓储、国际货运代理等业态。鼓励新建智能高端冷藏设施项目，提高冷链物流规模化水平。科学布局一批现代化综合物流园区、专业化物流配送中心、快递分拨中心和共同配送末端网点，构建便捷高效的“物流园区</w:t>
      </w:r>
      <w:r>
        <w:rPr>
          <w:rFonts w:ascii="仿宋_GB2312"/>
          <w:szCs w:val="30"/>
        </w:rPr>
        <w:t>-</w:t>
      </w:r>
      <w:r>
        <w:rPr>
          <w:rFonts w:hint="eastAsia" w:ascii="仿宋_GB2312"/>
          <w:szCs w:val="30"/>
        </w:rPr>
        <w:t>物流配送中心</w:t>
      </w:r>
      <w:r>
        <w:rPr>
          <w:rFonts w:ascii="仿宋_GB2312"/>
          <w:szCs w:val="30"/>
        </w:rPr>
        <w:t>-</w:t>
      </w:r>
      <w:r>
        <w:rPr>
          <w:rFonts w:hint="eastAsia" w:ascii="仿宋_GB2312"/>
          <w:szCs w:val="30"/>
        </w:rPr>
        <w:t>末端配送网点”三级物流运作设施网络。</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仿宋_GB2312" w:hAnsi="楷体" w:cs="楷体"/>
                <w:szCs w:val="30"/>
              </w:rPr>
            </w:pPr>
            <w:r>
              <w:rPr>
                <w:rFonts w:hint="eastAsia" w:ascii="仿宋_GB2312" w:hAnsi="楷体" w:cs="楷体"/>
                <w:b/>
                <w:bCs/>
                <w:szCs w:val="30"/>
              </w:rPr>
              <w:t>专栏</w:t>
            </w:r>
            <w:r>
              <w:rPr>
                <w:rFonts w:ascii="仿宋_GB2312" w:hAnsi="楷体" w:cs="楷体"/>
                <w:b/>
                <w:bCs/>
                <w:szCs w:val="30"/>
              </w:rPr>
              <w:t>3-7</w:t>
            </w:r>
            <w:r>
              <w:rPr>
                <w:rFonts w:hint="eastAsia" w:ascii="仿宋_GB2312" w:hAnsi="楷体" w:cs="楷体"/>
                <w:b/>
                <w:bCs/>
                <w:szCs w:val="30"/>
              </w:rPr>
              <w:t>：重点物流工程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仿宋_GB2312"/>
                <w:szCs w:val="30"/>
              </w:rPr>
            </w:pPr>
            <w:r>
              <w:rPr>
                <w:rFonts w:hint="eastAsia" w:ascii="仿宋_GB2312"/>
                <w:sz w:val="24"/>
                <w:szCs w:val="24"/>
              </w:rPr>
              <w:t>推动宁德漳湾港铁路专用线综合物流园、宁德水陆联运中心、国际物流中心、多式联运运营总部、飞鸾农产品物流园、福鼎市工业园区物流园、宁德辰颐严选电商产业园，及漳湾、城澳、溪南、湾坞作业区等环湾物流项目建设，加快建设各县冷链物流园。谋划在宁德、古田、福安、福鼎、霞浦五个铁路站点和各县（市、区）高速路出口、国道、省道附近建设大型综合物流园区或物流配送中心，加快衢宁铁路宁德段沿线站点物流园区规划建设。</w:t>
            </w:r>
          </w:p>
        </w:tc>
      </w:tr>
    </w:tbl>
    <w:p>
      <w:pPr>
        <w:pStyle w:val="5"/>
        <w:pageBreakBefore w:val="0"/>
        <w:kinsoku/>
        <w:wordWrap/>
        <w:overflowPunct/>
        <w:topLinePunct w:val="0"/>
        <w:autoSpaceDE/>
        <w:autoSpaceDN/>
        <w:bidi w:val="0"/>
        <w:spacing w:line="600" w:lineRule="exact"/>
        <w:ind w:firstLine="602"/>
        <w:textAlignment w:val="auto"/>
        <w:rPr>
          <w:rFonts w:ascii="仿宋_GB2312"/>
          <w:szCs w:val="30"/>
        </w:rPr>
      </w:pPr>
      <w:r>
        <w:rPr>
          <w:rStyle w:val="33"/>
          <w:rFonts w:hint="eastAsia" w:ascii="仿宋_GB2312"/>
          <w:b/>
          <w:bCs/>
          <w:sz w:val="30"/>
          <w:szCs w:val="30"/>
        </w:rPr>
        <w:t>二、现代金</w:t>
      </w:r>
      <w:r>
        <w:rPr>
          <w:rFonts w:hint="eastAsia" w:ascii="仿宋_GB2312"/>
          <w:szCs w:val="30"/>
        </w:rPr>
        <w:t>融</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围绕争创国家产融合作试点城市，推进“引金入宁”工程，引入外资、中外合资金融机构，开展国际金融业务。夯实宁德市普惠金融改革试验区建设，推进普惠金融“百千万”工程，</w:t>
      </w:r>
      <w:bookmarkStart w:id="315" w:name="_Hlk60738612"/>
      <w:r>
        <w:rPr>
          <w:rFonts w:hint="eastAsia" w:ascii="仿宋_GB2312"/>
          <w:szCs w:val="30"/>
        </w:rPr>
        <w:t>探索推动建立抵质押资产流转平台，积极推广地方特色农业保险。</w:t>
      </w:r>
      <w:bookmarkEnd w:id="315"/>
      <w:r>
        <w:rPr>
          <w:rFonts w:hint="eastAsia" w:ascii="仿宋_GB2312"/>
          <w:szCs w:val="30"/>
        </w:rPr>
        <w:t>发展供应链金融、绿色金融，强化保险增信支持，鼓励金融机构与先进制造业龙头企业合作打造供应链金融服务平台，拓展产业集群中小微企业的融资渠道。组建融资租赁公司，开展装备融资租赁服务。引入国内外创投机构，探索建设“新能源基金”小镇。</w:t>
      </w:r>
    </w:p>
    <w:p>
      <w:pPr>
        <w:pStyle w:val="5"/>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szCs w:val="30"/>
        </w:rPr>
        <w:t>三、商务商贸</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支持正威、智享无限提升总部功能，吸引一批国内外知名企业来宁德市设立总部、地区性总部或职能型总部，打造宁德本土总部型企业。鼓励制造业企业主辅分离，将研发设计、营销服务、财务、物流仓储等环节分离外包。启动新一轮商圈布局建设，打造城市商业中心、特色精品夜市、商业网点等多元商贸流通业态。推进各县（市、区）农贸市场生鲜化改造，完善行业电商服务平台建设，鼓励发展直播电商、社交电商、社群电商等电商新业态，扎实推进国家级电子商务进农村综合示范县工作，推动特色农产品上行。支持龙头企业设立海外仓，探索开展跨境电商</w:t>
      </w:r>
      <w:r>
        <w:rPr>
          <w:rFonts w:ascii="仿宋_GB2312"/>
          <w:szCs w:val="30"/>
        </w:rPr>
        <w:t>B2B</w:t>
      </w:r>
      <w:r>
        <w:rPr>
          <w:rFonts w:hint="eastAsia" w:ascii="仿宋_GB2312"/>
          <w:szCs w:val="30"/>
        </w:rPr>
        <w:t>出口监管试点。</w:t>
      </w:r>
    </w:p>
    <w:p>
      <w:pPr>
        <w:pStyle w:val="5"/>
        <w:pageBreakBefore w:val="0"/>
        <w:kinsoku/>
        <w:wordWrap/>
        <w:overflowPunct/>
        <w:topLinePunct w:val="0"/>
        <w:autoSpaceDE/>
        <w:autoSpaceDN/>
        <w:bidi w:val="0"/>
        <w:spacing w:line="600" w:lineRule="exact"/>
        <w:ind w:firstLine="602"/>
        <w:textAlignment w:val="auto"/>
        <w:rPr>
          <w:rFonts w:ascii="仿宋_GB2312"/>
          <w:szCs w:val="30"/>
        </w:rPr>
      </w:pPr>
      <w:r>
        <w:rPr>
          <w:rFonts w:hint="eastAsia" w:ascii="仿宋_GB2312"/>
          <w:szCs w:val="30"/>
        </w:rPr>
        <w:t>四、科技服务</w:t>
      </w:r>
    </w:p>
    <w:p>
      <w:pPr>
        <w:pageBreakBefore w:val="0"/>
        <w:widowControl w:val="0"/>
        <w:kinsoku/>
        <w:wordWrap/>
        <w:overflowPunct/>
        <w:topLinePunct w:val="0"/>
        <w:autoSpaceDE/>
        <w:autoSpaceDN/>
        <w:bidi w:val="0"/>
        <w:adjustRightInd/>
        <w:snapToGrid/>
        <w:spacing w:line="580" w:lineRule="exact"/>
        <w:ind w:firstLine="600"/>
        <w:textAlignment w:val="auto"/>
        <w:rPr>
          <w:rFonts w:ascii="仿宋_GB2312"/>
          <w:szCs w:val="30"/>
        </w:rPr>
      </w:pPr>
      <w:r>
        <w:rPr>
          <w:rFonts w:hint="eastAsia" w:ascii="仿宋_GB2312"/>
          <w:szCs w:val="30"/>
        </w:rPr>
        <w:t>引入第三方研发设计机构、知识产权服务机构、技术转移机构、检测机构、法律服务机构，推动创新成果转移转化。引导研发设计企业与制造企业嵌入式合作，提供需求分析、创新试验、原型开发等服务。开展制造业设计能力提升专项行动，发展高端综合设计服务。大力发展知识产权代理、咨询、培训等服务，建设知识产权融资模式试点。发展全过程检验认证服务，推动国家动力电池创新中心检测试验中心在东侨开发区设立分中心，加快建设康复医疗器械检测中心，谋划建设国家级食用菌检测中心。</w:t>
      </w:r>
    </w:p>
    <w:p>
      <w:pPr>
        <w:pStyle w:val="5"/>
        <w:pageBreakBefore w:val="0"/>
        <w:widowControl w:val="0"/>
        <w:kinsoku/>
        <w:wordWrap/>
        <w:overflowPunct/>
        <w:topLinePunct w:val="0"/>
        <w:autoSpaceDE/>
        <w:autoSpaceDN/>
        <w:bidi w:val="0"/>
        <w:adjustRightInd/>
        <w:snapToGrid/>
        <w:spacing w:line="580" w:lineRule="exact"/>
        <w:ind w:firstLine="602"/>
        <w:textAlignment w:val="auto"/>
        <w:rPr>
          <w:rFonts w:ascii="仿宋_GB2312"/>
          <w:szCs w:val="30"/>
        </w:rPr>
      </w:pPr>
      <w:r>
        <w:rPr>
          <w:rFonts w:hint="eastAsia" w:ascii="仿宋_GB2312"/>
          <w:szCs w:val="30"/>
        </w:rPr>
        <w:t>五、健康养老</w:t>
      </w:r>
    </w:p>
    <w:p>
      <w:pPr>
        <w:pageBreakBefore w:val="0"/>
        <w:widowControl w:val="0"/>
        <w:kinsoku/>
        <w:wordWrap/>
        <w:overflowPunct/>
        <w:topLinePunct w:val="0"/>
        <w:autoSpaceDE/>
        <w:autoSpaceDN/>
        <w:bidi w:val="0"/>
        <w:adjustRightInd/>
        <w:snapToGrid/>
        <w:spacing w:line="580" w:lineRule="exact"/>
        <w:ind w:firstLine="600"/>
        <w:textAlignment w:val="auto"/>
        <w:rPr>
          <w:rFonts w:ascii="仿宋_GB2312"/>
          <w:szCs w:val="30"/>
        </w:rPr>
      </w:pPr>
      <w:bookmarkStart w:id="316" w:name="_Hlk60738711"/>
      <w:r>
        <w:rPr>
          <w:rFonts w:hint="eastAsia" w:ascii="仿宋_GB2312"/>
          <w:szCs w:val="30"/>
        </w:rPr>
        <w:t>设计和推广一批休闲旅游与养生养老路线，打造精品健康养老项目，拓展健康养老、文化养老、旅居养老，推动养老事业和养老产业协同发展，把“山水宁德</w:t>
      </w:r>
      <w:r>
        <w:rPr>
          <w:rFonts w:ascii="仿宋_GB2312"/>
          <w:szCs w:val="30"/>
        </w:rPr>
        <w:t>·</w:t>
      </w:r>
      <w:r>
        <w:rPr>
          <w:rFonts w:hint="eastAsia" w:ascii="仿宋_GB2312"/>
          <w:szCs w:val="30"/>
        </w:rPr>
        <w:t>颐养福地”培育成为东南沿海知名的养老品牌。</w:t>
      </w:r>
      <w:bookmarkEnd w:id="316"/>
      <w:r>
        <w:rPr>
          <w:rFonts w:hint="eastAsia" w:ascii="仿宋_GB2312"/>
          <w:szCs w:val="30"/>
        </w:rPr>
        <w:t>加强宁德市大中专院校健康管理、康复护理等专业人才的培养。推广“医养融合”的养老养生服务模式，加速中医药产业与养老产业融合发展，在柘荣、屏南、古田等地谋划建设集医疗服务、康复护理、养老养生等功能于一体的中医药特色养老小镇，推进蕉城徕福康养中心、屏南生态养老休闲度假区、下党省级劳模职工疗休养基地、古田廷墩康养等项目建设。</w:t>
      </w:r>
    </w:p>
    <w:p>
      <w:pPr>
        <w:pStyle w:val="5"/>
        <w:pageBreakBefore w:val="0"/>
        <w:widowControl w:val="0"/>
        <w:kinsoku/>
        <w:wordWrap/>
        <w:overflowPunct/>
        <w:topLinePunct w:val="0"/>
        <w:autoSpaceDE/>
        <w:autoSpaceDN/>
        <w:bidi w:val="0"/>
        <w:adjustRightInd/>
        <w:snapToGrid/>
        <w:spacing w:line="580" w:lineRule="exact"/>
        <w:ind w:firstLine="602"/>
        <w:textAlignment w:val="auto"/>
        <w:rPr>
          <w:rFonts w:ascii="仿宋_GB2312"/>
          <w:bCs w:val="0"/>
          <w:szCs w:val="30"/>
        </w:rPr>
      </w:pPr>
      <w:r>
        <w:rPr>
          <w:rFonts w:hint="eastAsia" w:ascii="仿宋_GB2312"/>
          <w:bCs w:val="0"/>
          <w:szCs w:val="30"/>
        </w:rPr>
        <w:t>六、旅游服务</w:t>
      </w:r>
    </w:p>
    <w:p>
      <w:pPr>
        <w:pageBreakBefore w:val="0"/>
        <w:widowControl w:val="0"/>
        <w:kinsoku/>
        <w:wordWrap/>
        <w:overflowPunct/>
        <w:topLinePunct w:val="0"/>
        <w:autoSpaceDE/>
        <w:autoSpaceDN/>
        <w:bidi w:val="0"/>
        <w:adjustRightInd/>
        <w:snapToGrid/>
        <w:spacing w:line="580" w:lineRule="exact"/>
        <w:ind w:firstLine="600"/>
        <w:textAlignment w:val="auto"/>
        <w:rPr>
          <w:rFonts w:ascii="仿宋_GB2312"/>
          <w:szCs w:val="30"/>
        </w:rPr>
      </w:pPr>
      <w:r>
        <w:rPr>
          <w:rFonts w:hint="eastAsia" w:ascii="仿宋_GB2312"/>
          <w:szCs w:val="30"/>
        </w:rPr>
        <w:t>推动旅游业供给侧结构性改革，优化全域旅游布局，打造具有国际知名度的山海休闲旅游目的地。推进旅游资源整合，强化资产运作，培育壮大市旅游市场主体。完善旅游基础设施，加快推进旅游道路、旅游厕所、旅游集散中心、旅游直通车等旅游公共服务设施建设。加强以A级旅游景区、旅游小镇为重点的区域旅游产品体系建设，推出全新旅游产品线路，持续提升服务品质。以“城旅共兴”为导向，做强市旅游综合服务核，建设中心城市旅游集散地、邮轮游艇基地，打造特色旅游片区，构建全域旅游发展格局。落实“旅游+”战略，推动旅游与工业、农业、体育、生态气象等业态融合发展，培育“古村落+文创”“摄影+民宿”“渔旅融合”等旅游新业态模式，拓展夜间经济旅游业态，推动文化旅游深度融合发展。</w:t>
      </w:r>
    </w:p>
    <w:p>
      <w:pPr>
        <w:pageBreakBefore w:val="0"/>
        <w:widowControl/>
        <w:kinsoku/>
        <w:wordWrap/>
        <w:overflowPunct/>
        <w:topLinePunct w:val="0"/>
        <w:autoSpaceDE/>
        <w:autoSpaceDN/>
        <w:bidi w:val="0"/>
        <w:spacing w:line="600" w:lineRule="exact"/>
        <w:ind w:firstLine="0" w:firstLineChars="0"/>
        <w:jc w:val="left"/>
        <w:textAlignment w:val="auto"/>
        <w:rPr>
          <w:rFonts w:ascii="黑体" w:hAnsi="黑体" w:eastAsia="黑体"/>
          <w:b/>
          <w:bCs/>
          <w:kern w:val="44"/>
          <w:sz w:val="32"/>
          <w:szCs w:val="48"/>
        </w:rPr>
      </w:pPr>
      <w:bookmarkStart w:id="317" w:name="_Toc5628"/>
      <w:bookmarkStart w:id="318" w:name="_Toc6843"/>
      <w:bookmarkStart w:id="319" w:name="_Toc14888"/>
      <w:bookmarkStart w:id="320" w:name="_Toc9715"/>
      <w:bookmarkStart w:id="321" w:name="_Toc14171"/>
      <w:bookmarkStart w:id="322" w:name="_Toc23165"/>
      <w:bookmarkStart w:id="323" w:name="_Toc24551"/>
      <w:bookmarkStart w:id="324" w:name="_Toc9925"/>
      <w:bookmarkStart w:id="325" w:name="_Toc28530"/>
      <w:bookmarkStart w:id="326" w:name="_Toc20015"/>
      <w:r>
        <w:rPr>
          <w:rFonts w:ascii="黑体" w:hAnsi="黑体" w:eastAsia="黑体"/>
          <w:sz w:val="32"/>
          <w:szCs w:val="48"/>
        </w:rPr>
        <w:br w:type="page"/>
      </w:r>
    </w:p>
    <w:p>
      <w:pPr>
        <w:pStyle w:val="3"/>
        <w:pageBreakBefore w:val="0"/>
        <w:kinsoku/>
        <w:wordWrap/>
        <w:overflowPunct/>
        <w:topLinePunct w:val="0"/>
        <w:autoSpaceDE/>
        <w:autoSpaceDN/>
        <w:bidi w:val="0"/>
        <w:spacing w:line="600" w:lineRule="exact"/>
        <w:textAlignment w:val="auto"/>
        <w:rPr>
          <w:rFonts w:hint="eastAsia" w:ascii="黑体" w:hAnsi="黑体" w:eastAsia="黑体"/>
          <w:sz w:val="32"/>
          <w:szCs w:val="48"/>
        </w:rPr>
      </w:pPr>
      <w:bookmarkStart w:id="327" w:name="_Toc61117352"/>
    </w:p>
    <w:p>
      <w:pPr>
        <w:pStyle w:val="3"/>
        <w:pageBreakBefore w:val="0"/>
        <w:numPr>
          <w:ilvl w:val="0"/>
          <w:numId w:val="3"/>
        </w:numPr>
        <w:kinsoku/>
        <w:wordWrap/>
        <w:overflowPunct/>
        <w:topLinePunct w:val="0"/>
        <w:autoSpaceDE/>
        <w:autoSpaceDN/>
        <w:bidi w:val="0"/>
        <w:spacing w:line="600" w:lineRule="exact"/>
        <w:ind w:left="0" w:leftChars="0" w:firstLine="640" w:firstLineChars="0"/>
        <w:textAlignment w:val="auto"/>
        <w:rPr>
          <w:rFonts w:hint="eastAsia" w:ascii="黑体" w:hAnsi="黑体" w:eastAsia="黑体"/>
          <w:b w:val="0"/>
          <w:bCs w:val="0"/>
          <w:sz w:val="32"/>
          <w:szCs w:val="48"/>
        </w:rPr>
      </w:pPr>
      <w:r>
        <w:rPr>
          <w:rFonts w:hint="eastAsia" w:ascii="黑体" w:hAnsi="黑体" w:eastAsia="黑体"/>
          <w:b w:val="0"/>
          <w:bCs w:val="0"/>
          <w:sz w:val="32"/>
          <w:szCs w:val="48"/>
          <w:lang w:val="en-US" w:eastAsia="zh-CN"/>
        </w:rPr>
        <w:t xml:space="preserve"> </w:t>
      </w:r>
      <w:r>
        <w:rPr>
          <w:rFonts w:hint="eastAsia" w:ascii="黑体" w:hAnsi="黑体" w:eastAsia="黑体"/>
          <w:b w:val="0"/>
          <w:bCs w:val="0"/>
          <w:sz w:val="32"/>
          <w:szCs w:val="48"/>
        </w:rPr>
        <w:t>服务并深度融入新发展格局</w:t>
      </w:r>
      <w:bookmarkEnd w:id="317"/>
      <w:bookmarkEnd w:id="318"/>
      <w:bookmarkEnd w:id="319"/>
      <w:bookmarkEnd w:id="320"/>
      <w:bookmarkEnd w:id="321"/>
      <w:bookmarkEnd w:id="322"/>
      <w:bookmarkEnd w:id="323"/>
      <w:bookmarkEnd w:id="324"/>
      <w:bookmarkEnd w:id="325"/>
      <w:bookmarkEnd w:id="326"/>
      <w:bookmarkEnd w:id="327"/>
    </w:p>
    <w:p>
      <w:pPr>
        <w:numPr>
          <w:ilvl w:val="0"/>
          <w:numId w:val="0"/>
        </w:numPr>
        <w:ind w:left="640" w:leftChars="0"/>
      </w:pPr>
    </w:p>
    <w:p>
      <w:pPr>
        <w:pageBreakBefore w:val="0"/>
        <w:kinsoku/>
        <w:wordWrap/>
        <w:overflowPunct/>
        <w:topLinePunct w:val="0"/>
        <w:autoSpaceDE/>
        <w:autoSpaceDN/>
        <w:bidi w:val="0"/>
        <w:spacing w:line="600" w:lineRule="exact"/>
        <w:ind w:firstLine="600"/>
        <w:textAlignment w:val="auto"/>
        <w:rPr>
          <w:rFonts w:hint="eastAsia" w:ascii="仿宋_GB2312"/>
          <w:szCs w:val="30"/>
        </w:rPr>
      </w:pPr>
      <w:r>
        <w:rPr>
          <w:rFonts w:hint="eastAsia" w:ascii="仿宋_GB2312"/>
          <w:szCs w:val="30"/>
        </w:rPr>
        <w:t>围绕习近平总书记提出要“加快形成以国内大循环为主体、国内国际双循环相互促进的新发展格局”的要求，坚持扩大内需战略基点，扭住供给侧结构性改革，注重需求侧管理，形成需求牵引供给、供给创造需求的更高水平动态平衡。</w:t>
      </w:r>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b/>
          <w:bCs/>
          <w:sz w:val="32"/>
          <w:szCs w:val="36"/>
        </w:rPr>
      </w:pPr>
      <w:bookmarkStart w:id="328" w:name="_Toc61117353"/>
      <w:bookmarkStart w:id="329" w:name="_Toc10883"/>
      <w:bookmarkStart w:id="330" w:name="_Toc7088"/>
      <w:bookmarkStart w:id="331" w:name="_Toc25892"/>
      <w:bookmarkStart w:id="332" w:name="_Toc26466"/>
      <w:bookmarkStart w:id="333" w:name="_Toc13122"/>
      <w:bookmarkStart w:id="334" w:name="_Toc25201"/>
      <w:bookmarkStart w:id="335" w:name="_Toc2937"/>
      <w:bookmarkStart w:id="336" w:name="_Toc876"/>
      <w:bookmarkStart w:id="337" w:name="_Toc16188"/>
      <w:bookmarkStart w:id="338" w:name="_Toc2948"/>
      <w:r>
        <w:rPr>
          <w:rFonts w:hint="eastAsia" w:ascii="楷体" w:hAnsi="楷体" w:eastAsia="楷体"/>
          <w:b/>
          <w:bCs/>
          <w:sz w:val="32"/>
          <w:szCs w:val="36"/>
        </w:rPr>
        <w:t>第一节</w:t>
      </w:r>
      <w:r>
        <w:rPr>
          <w:rFonts w:ascii="楷体" w:hAnsi="楷体" w:eastAsia="楷体"/>
          <w:b/>
          <w:bCs/>
          <w:sz w:val="32"/>
          <w:szCs w:val="36"/>
        </w:rPr>
        <w:t xml:space="preserve"> </w:t>
      </w:r>
      <w:r>
        <w:rPr>
          <w:rFonts w:hint="eastAsia" w:ascii="楷体" w:hAnsi="楷体" w:eastAsia="楷体"/>
          <w:b/>
          <w:bCs/>
          <w:sz w:val="32"/>
          <w:szCs w:val="36"/>
          <w:lang w:val="en-US" w:eastAsia="zh-CN"/>
        </w:rPr>
        <w:t xml:space="preserve"> </w:t>
      </w:r>
      <w:r>
        <w:rPr>
          <w:rFonts w:hint="eastAsia" w:ascii="楷体" w:hAnsi="楷体" w:eastAsia="楷体"/>
          <w:b/>
          <w:bCs/>
          <w:sz w:val="32"/>
          <w:szCs w:val="36"/>
        </w:rPr>
        <w:t>着力完善内需体系</w:t>
      </w:r>
      <w:bookmarkEnd w:id="328"/>
      <w:bookmarkEnd w:id="329"/>
      <w:bookmarkEnd w:id="330"/>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完善扩大内需政策支撑体系，增强消费对经济发展的基础性作用，推动消费扩容激活需求，扩大有效投资创造需求，增强宁德发展的内生动力。</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一、充分挖掘和激发消费潜力</w:t>
      </w:r>
    </w:p>
    <w:p>
      <w:pPr>
        <w:pageBreakBefore w:val="0"/>
        <w:kinsoku/>
        <w:wordWrap/>
        <w:overflowPunct/>
        <w:topLinePunct w:val="0"/>
        <w:autoSpaceDE/>
        <w:autoSpaceDN/>
        <w:bidi w:val="0"/>
        <w:spacing w:line="600" w:lineRule="exact"/>
        <w:ind w:firstLine="600"/>
        <w:textAlignment w:val="auto"/>
        <w:rPr>
          <w:rFonts w:ascii="仿宋_GB2312" w:hAnsi="仿宋"/>
          <w:szCs w:val="30"/>
        </w:rPr>
      </w:pPr>
      <w:r>
        <w:rPr>
          <w:rFonts w:hint="eastAsia" w:ascii="仿宋_GB2312"/>
          <w:szCs w:val="30"/>
        </w:rPr>
        <w:t>发展新型消费业态，提供数字生活新服务，打造地方特色消费中心。创新无接触式消费模式，推广“网上菜场”“网上餐厅”“网上超市”“云逛街”等模式，推动网络消费、定制消费、体验消费、智能消费，拓展农村消费市场。</w:t>
      </w:r>
      <w:r>
        <w:rPr>
          <w:rFonts w:hint="eastAsia" w:ascii="仿宋_GB2312" w:hAnsi="仿宋"/>
          <w:szCs w:val="30"/>
        </w:rPr>
        <w:t>加速商圈数字化基础设施建设，打造一批高端化、国际化的智慧商圈地标。推动知名文化旅游场所、特色文体娱乐中心和热门美食区域配套设施升级，在蕉城、福安、福鼎、霞浦等县（市、区）布局建设夜间经济示范街区。完善社区便民消费设施，加快建设社区邻里中心、农村社区综合性服务网点，</w:t>
      </w:r>
      <w:r>
        <w:rPr>
          <w:rFonts w:hint="eastAsia" w:ascii="仿宋_GB2312"/>
          <w:szCs w:val="30"/>
        </w:rPr>
        <w:t>打造</w:t>
      </w:r>
      <w:r>
        <w:rPr>
          <w:rFonts w:hint="eastAsia" w:ascii="仿宋_GB2312" w:hAnsi="仿宋"/>
          <w:szCs w:val="30"/>
        </w:rPr>
        <w:t>一刻钟便民圈。落实带薪休假制度，扩大节假日消费。加强消费领域企业和个人信用体系建设，强化消费者权益保护，改善消费环境。</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二、持续扩大有效投资</w:t>
      </w:r>
    </w:p>
    <w:p>
      <w:pPr>
        <w:pageBreakBefore w:val="0"/>
        <w:kinsoku/>
        <w:wordWrap/>
        <w:overflowPunct/>
        <w:topLinePunct w:val="0"/>
        <w:autoSpaceDE/>
        <w:autoSpaceDN/>
        <w:bidi w:val="0"/>
        <w:spacing w:line="600" w:lineRule="exact"/>
        <w:ind w:firstLine="600"/>
        <w:textAlignment w:val="auto"/>
        <w:rPr>
          <w:rFonts w:ascii="仿宋_GB2312" w:hAnsi="仿宋"/>
          <w:szCs w:val="30"/>
        </w:rPr>
      </w:pPr>
      <w:r>
        <w:rPr>
          <w:rFonts w:hint="eastAsia" w:ascii="仿宋_GB2312" w:hAnsi="仿宋"/>
          <w:szCs w:val="30"/>
        </w:rPr>
        <w:t>充分发挥投资对优化供给结构的关键性作用，深化“五个一批”项目推进机制，加大“两新一重”投资。健全市场化投融资机制，探索政府投资新模式，激发民间投资活力，推进投融资多元化。围绕四大主导产业，推动一批投资体量大、引领性强的大项目落地建设，支持龙头企业对产业链关键领域、薄弱环节和共性问题等进行整体技术改造。谋划一批战略性、全局性的重大交通项目，畅通运输“微循环”。加强城市短板领域建设，加快推动城乡一体化、老旧小区改造和城市更新行动</w:t>
      </w:r>
      <w:r>
        <w:rPr>
          <w:rFonts w:hint="eastAsia" w:ascii="仿宋_GB2312" w:hAnsi="仿宋"/>
          <w:szCs w:val="30"/>
          <w:lang w:eastAsia="zh-CN"/>
        </w:rPr>
        <w:t>，加快推进三都澳新区、连城路周边区域、金漳路周边区域、保洋塘区域、临港片区、飞鸾片区等开发建设</w:t>
      </w:r>
      <w:r>
        <w:rPr>
          <w:rFonts w:hint="eastAsia" w:ascii="仿宋_GB2312" w:hAnsi="仿宋"/>
          <w:szCs w:val="30"/>
        </w:rPr>
        <w:t>。布局5G网络、数据中心等新型基础设施建设，加快铁路高速、港口泊位、能源水利等重大工程建设，补齐基础设施、市政工程、农业农村、公共安全、生态环保、公共卫生、物资储备、防灾减灾、人防工程、民生保障等领域短板，释放“新基建</w:t>
      </w:r>
      <w:r>
        <w:rPr>
          <w:rFonts w:ascii="仿宋_GB2312" w:hAnsi="仿宋"/>
          <w:szCs w:val="30"/>
        </w:rPr>
        <w:t>+</w:t>
      </w:r>
      <w:r>
        <w:rPr>
          <w:rFonts w:hint="eastAsia" w:ascii="仿宋_GB2312" w:hAnsi="仿宋"/>
          <w:szCs w:val="30"/>
        </w:rPr>
        <w:t>老基建”的叠加效应。</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339" w:name="_Toc8998"/>
      <w:bookmarkStart w:id="340" w:name="_Toc61117354"/>
      <w:bookmarkStart w:id="341" w:name="_Toc13642"/>
    </w:p>
    <w:p>
      <w:pPr>
        <w:pStyle w:val="4"/>
        <w:pageBreakBefore w:val="0"/>
        <w:numPr>
          <w:ilvl w:val="0"/>
          <w:numId w:val="5"/>
        </w:numPr>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r>
        <w:rPr>
          <w:rFonts w:hint="eastAsia" w:ascii="楷体" w:hAnsi="楷体" w:eastAsia="楷体"/>
          <w:sz w:val="32"/>
          <w:szCs w:val="36"/>
          <w:lang w:val="en-US" w:eastAsia="zh-CN"/>
        </w:rPr>
        <w:t xml:space="preserve"> </w:t>
      </w:r>
      <w:r>
        <w:rPr>
          <w:rFonts w:hint="eastAsia" w:ascii="楷体" w:hAnsi="楷体" w:eastAsia="楷体"/>
          <w:sz w:val="32"/>
          <w:szCs w:val="36"/>
        </w:rPr>
        <w:t>打造国内大循环的重要节点</w:t>
      </w:r>
      <w:bookmarkEnd w:id="331"/>
      <w:bookmarkEnd w:id="332"/>
      <w:bookmarkEnd w:id="333"/>
      <w:bookmarkEnd w:id="334"/>
      <w:bookmarkEnd w:id="335"/>
      <w:bookmarkEnd w:id="336"/>
      <w:bookmarkEnd w:id="337"/>
      <w:bookmarkEnd w:id="338"/>
      <w:bookmarkEnd w:id="339"/>
      <w:bookmarkEnd w:id="340"/>
      <w:bookmarkEnd w:id="341"/>
    </w:p>
    <w:p>
      <w:pPr>
        <w:numPr>
          <w:ilvl w:val="0"/>
          <w:numId w:val="0"/>
        </w:numPr>
      </w:pPr>
    </w:p>
    <w:p>
      <w:pPr>
        <w:pageBreakBefore w:val="0"/>
        <w:kinsoku/>
        <w:wordWrap/>
        <w:overflowPunct/>
        <w:topLinePunct w:val="0"/>
        <w:autoSpaceDE/>
        <w:autoSpaceDN/>
        <w:bidi w:val="0"/>
        <w:spacing w:line="600" w:lineRule="exact"/>
        <w:ind w:firstLine="600"/>
        <w:textAlignment w:val="auto"/>
      </w:pPr>
      <w:r>
        <w:rPr>
          <w:rFonts w:hint="eastAsia"/>
        </w:rPr>
        <w:t>以市场化改革打通制约产业循环、市场循环、经济循环的痛点堵点，推动生产、流通、分配体系优化升级，推动人才、信息、资金、技术等优质要素有效集聚。</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一、提升供给体系适配性</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立体多维多元整合提升产业链，推动产业对接全省千亿产业集群，构建循环产业链，优化供给结构。强化科技创新、标准引领和品牌建设，依托四大主导产业强大竞争力，推动“宁德制造”向“宁德智造”“宁德创造”转型。提升教育、医疗、养老、金融等服务供给。引导企业强化质量管理，扩大中高端供给，注重需求侧管理，促进供需高效适配。推动金融、房地产同实体经济均衡发展。提升经济治理效能，提高落实跨周期、逆周期调节能力，促进农业、制造业、服务业、能源资源等产业门类关系协调。</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二、完善现代商贸流通体系</w:t>
      </w:r>
    </w:p>
    <w:p>
      <w:pPr>
        <w:pageBreakBefore w:val="0"/>
        <w:kinsoku/>
        <w:wordWrap/>
        <w:overflowPunct/>
        <w:topLinePunct w:val="0"/>
        <w:autoSpaceDE/>
        <w:autoSpaceDN/>
        <w:bidi w:val="0"/>
        <w:spacing w:line="600" w:lineRule="exact"/>
        <w:ind w:firstLine="600"/>
        <w:textAlignment w:val="auto"/>
      </w:pPr>
      <w:r>
        <w:rPr>
          <w:rFonts w:hint="eastAsia"/>
        </w:rPr>
        <w:t>促进商品和服务跨区域流通，推动上下游、产供储销有效衔接，大中小企业整体配套，降低全社会交易成本，进一步提升宁德在全国产业链供应链中的地位。促进传统流通企业主动创新和转型升级，增强供应链一体化集成服务能力。健全物流体系，建设集港口、铁路、高速公路多式联运于一体的智能化、现代化综合物流枢纽。改造提升农村流通基础设施，促进形成以乡镇为中心的农村流通服务网络。加大农产品分拣、加工、包装、预冷等一体化集配设施建设支持力度，扩大农产品流通。</w:t>
      </w:r>
      <w:bookmarkStart w:id="342" w:name="_Toc10201"/>
      <w:bookmarkStart w:id="343" w:name="_Toc11665"/>
    </w:p>
    <w:p>
      <w:pPr>
        <w:pStyle w:val="4"/>
        <w:pageBreakBefore w:val="0"/>
        <w:kinsoku/>
        <w:wordWrap/>
        <w:overflowPunct/>
        <w:topLinePunct w:val="0"/>
        <w:autoSpaceDE/>
        <w:autoSpaceDN/>
        <w:bidi w:val="0"/>
        <w:spacing w:beforeLines="0" w:afterLines="0" w:line="600" w:lineRule="exact"/>
        <w:ind w:firstLine="643"/>
        <w:textAlignment w:val="auto"/>
        <w:rPr>
          <w:rFonts w:hint="eastAsia" w:ascii="楷体" w:hAnsi="楷体" w:eastAsia="楷体"/>
          <w:sz w:val="32"/>
          <w:szCs w:val="36"/>
        </w:rPr>
      </w:pPr>
      <w:bookmarkStart w:id="344" w:name="_Toc61117355"/>
    </w:p>
    <w:p>
      <w:pPr>
        <w:pStyle w:val="4"/>
        <w:pageBreakBefore w:val="0"/>
        <w:kinsoku/>
        <w:wordWrap/>
        <w:overflowPunct/>
        <w:topLinePunct w:val="0"/>
        <w:autoSpaceDE/>
        <w:autoSpaceDN/>
        <w:bidi w:val="0"/>
        <w:spacing w:beforeLines="0" w:afterLines="0" w:line="600" w:lineRule="exact"/>
        <w:ind w:firstLine="643"/>
        <w:textAlignment w:val="auto"/>
        <w:rPr>
          <w:rFonts w:ascii="楷体" w:hAnsi="楷体" w:eastAsia="楷体"/>
          <w:sz w:val="32"/>
          <w:szCs w:val="36"/>
        </w:rPr>
      </w:pPr>
      <w:r>
        <w:rPr>
          <w:rFonts w:hint="eastAsia" w:ascii="楷体" w:hAnsi="楷体" w:eastAsia="楷体"/>
          <w:sz w:val="32"/>
          <w:szCs w:val="36"/>
        </w:rPr>
        <w:t xml:space="preserve">第三节 </w:t>
      </w:r>
      <w:r>
        <w:rPr>
          <w:rFonts w:hint="eastAsia" w:ascii="楷体" w:hAnsi="楷体" w:eastAsia="楷体"/>
          <w:sz w:val="32"/>
          <w:szCs w:val="36"/>
          <w:lang w:val="en-US" w:eastAsia="zh-CN"/>
        </w:rPr>
        <w:t xml:space="preserve"> </w:t>
      </w:r>
      <w:r>
        <w:rPr>
          <w:rFonts w:hint="eastAsia" w:ascii="楷体" w:hAnsi="楷体" w:eastAsia="楷体"/>
          <w:sz w:val="32"/>
          <w:szCs w:val="36"/>
        </w:rPr>
        <w:t>构建国内国际双循环的重要通道</w:t>
      </w:r>
      <w:bookmarkEnd w:id="342"/>
      <w:bookmarkEnd w:id="343"/>
      <w:bookmarkEnd w:id="344"/>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充分利用国内国际两个市场、两种资源，畅通互联互通交通运输网络，发挥乡贤、侨胞桥梁纽带作用，推动内需与外需、出口与进口、吸引外资和对外投资协调发展。</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一、推动内外贸一体化发展</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深入实施增品种、提品质、创品牌“三品”战略，建设“宁德智造”“宁德旅游”“0593宁德号”区域品牌，积极创建国家级知名品牌示范区。引导骨干企业争取设立国际标准化组织，开展国际认证，探索建立“宁德标准认证”制度。建设中小企业质量品牌公共服务平台，引导中小企业采用先进质量管理方法。支持外贸企业发展“同线同标同质”产品，促进适销对路的出口产品转内销，利用云贸易、同城配送、直播电商、场景体验等新模式开拓国内市场，鼓励政府机关、企事业单位、国有企业积极采购出口转内销产品。优化国内国际市场布局、商品结构、贸易方式，提升出口质量，扩大优质产品和服务进口。</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二、畅通国内国际市场流通网络</w:t>
      </w:r>
    </w:p>
    <w:p>
      <w:pPr>
        <w:pageBreakBefore w:val="0"/>
        <w:kinsoku/>
        <w:wordWrap/>
        <w:overflowPunct/>
        <w:topLinePunct w:val="0"/>
        <w:autoSpaceDE/>
        <w:autoSpaceDN/>
        <w:bidi w:val="0"/>
        <w:spacing w:line="600" w:lineRule="exact"/>
        <w:ind w:firstLine="600"/>
        <w:textAlignment w:val="auto"/>
        <w:rPr>
          <w:rFonts w:ascii="仿宋_GB2312"/>
          <w:b/>
          <w:bCs/>
          <w:szCs w:val="30"/>
        </w:rPr>
      </w:pPr>
      <w:r>
        <w:rPr>
          <w:rFonts w:hint="eastAsia" w:ascii="仿宋_GB2312"/>
          <w:szCs w:val="30"/>
        </w:rPr>
        <w:t>坚持以产业发展需求为导向，大力发展海陆空铁多式联运，打造北承南连、西进东出、通江达海的大动脉，成为服务“一带一路”、中西部及周边地区的重要前沿。加快港口正式开放，建立集装箱国际航线与班列，加快综合交通运输网络建设，打造内联外通、高效便捷的集疏运网络体系。加强锂电新能源、不锈钢新材料等优势领域对外合作，积极与“一带一路”沿线国家和地区合作共建产业链供应链。</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三、用好促进国内国际双循环的重要力量</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发挥宁德在外乡贤、港澳台同胞、海外侨胞数量较多的优势，打造更加开放的侨资侨智集聚发展平台，推动侨资侨智成为经贸合作、融通内外的桥梁纽带，让更多高端资源要素汇聚宁德，让更多宁德产品和服务走向世界。深入实施乡贤回归工程，鼓励更多乡贤企业家回归投资兴业，撬动更多社会资源助力</w:t>
      </w:r>
      <w:r>
        <w:rPr>
          <w:rFonts w:hint="eastAsia" w:ascii="仿宋_GB2312"/>
          <w:szCs w:val="30"/>
          <w:lang w:eastAsia="zh-CN"/>
        </w:rPr>
        <w:t>宁德服务并深度融入新发展格局</w:t>
      </w:r>
      <w:r>
        <w:rPr>
          <w:rFonts w:hint="eastAsia" w:ascii="仿宋_GB2312"/>
          <w:szCs w:val="30"/>
        </w:rPr>
        <w:t>。发挥宁德民营经济比重大的优势，鼓励民营企业依法进入更多领域，进一步深化“宁造出境”“宁企出海”。</w:t>
      </w:r>
    </w:p>
    <w:p>
      <w:pPr>
        <w:pageBreakBefore w:val="0"/>
        <w:kinsoku/>
        <w:wordWrap/>
        <w:overflowPunct/>
        <w:topLinePunct w:val="0"/>
        <w:autoSpaceDE/>
        <w:autoSpaceDN/>
        <w:bidi w:val="0"/>
        <w:spacing w:line="600" w:lineRule="exact"/>
        <w:ind w:firstLine="600"/>
        <w:textAlignment w:val="auto"/>
        <w:rPr>
          <w:rFonts w:ascii="仿宋_GB2312"/>
          <w:szCs w:val="30"/>
        </w:rPr>
      </w:pPr>
    </w:p>
    <w:p>
      <w:pPr>
        <w:pageBreakBefore w:val="0"/>
        <w:kinsoku/>
        <w:wordWrap/>
        <w:overflowPunct/>
        <w:topLinePunct w:val="0"/>
        <w:autoSpaceDE/>
        <w:autoSpaceDN/>
        <w:bidi w:val="0"/>
        <w:spacing w:line="600" w:lineRule="exact"/>
        <w:ind w:firstLine="600"/>
        <w:textAlignment w:val="auto"/>
        <w:rPr>
          <w:rFonts w:ascii="仿宋_GB2312"/>
          <w:szCs w:val="30"/>
        </w:rPr>
      </w:pPr>
    </w:p>
    <w:p>
      <w:pPr>
        <w:pageBreakBefore w:val="0"/>
        <w:widowControl/>
        <w:kinsoku/>
        <w:wordWrap/>
        <w:overflowPunct/>
        <w:topLinePunct w:val="0"/>
        <w:autoSpaceDE/>
        <w:autoSpaceDN/>
        <w:bidi w:val="0"/>
        <w:spacing w:line="600" w:lineRule="exact"/>
        <w:ind w:firstLine="0" w:firstLineChars="0"/>
        <w:jc w:val="left"/>
        <w:textAlignment w:val="auto"/>
        <w:rPr>
          <w:rFonts w:ascii="仿宋_GB2312"/>
          <w:szCs w:val="30"/>
        </w:rPr>
      </w:pPr>
      <w:r>
        <w:rPr>
          <w:rFonts w:ascii="仿宋_GB2312"/>
          <w:szCs w:val="30"/>
        </w:rPr>
        <w:br w:type="page"/>
      </w:r>
    </w:p>
    <w:p>
      <w:pPr>
        <w:pStyle w:val="3"/>
        <w:pageBreakBefore w:val="0"/>
        <w:kinsoku/>
        <w:wordWrap/>
        <w:overflowPunct/>
        <w:topLinePunct w:val="0"/>
        <w:autoSpaceDE/>
        <w:autoSpaceDN/>
        <w:bidi w:val="0"/>
        <w:spacing w:line="600" w:lineRule="exact"/>
        <w:textAlignment w:val="auto"/>
        <w:rPr>
          <w:rFonts w:ascii="黑体" w:hAnsi="黑体" w:eastAsia="黑体"/>
          <w:sz w:val="32"/>
          <w:szCs w:val="48"/>
        </w:rPr>
      </w:pPr>
      <w:bookmarkStart w:id="345" w:name="_Toc4292"/>
      <w:bookmarkStart w:id="346" w:name="_Toc30258"/>
      <w:bookmarkStart w:id="347" w:name="_Toc14185"/>
      <w:bookmarkStart w:id="348" w:name="_Toc24365"/>
      <w:bookmarkStart w:id="349" w:name="_Toc26165"/>
      <w:bookmarkStart w:id="350" w:name="_Toc8524"/>
      <w:bookmarkStart w:id="351" w:name="_Toc18140"/>
      <w:bookmarkStart w:id="352" w:name="_Toc12692"/>
      <w:bookmarkStart w:id="353" w:name="_Toc21055"/>
      <w:bookmarkStart w:id="354" w:name="_Toc19574"/>
      <w:bookmarkStart w:id="355" w:name="_Toc61117356"/>
    </w:p>
    <w:p>
      <w:pPr>
        <w:pStyle w:val="3"/>
        <w:pageBreakBefore w:val="0"/>
        <w:kinsoku/>
        <w:wordWrap/>
        <w:overflowPunct/>
        <w:topLinePunct w:val="0"/>
        <w:autoSpaceDE/>
        <w:autoSpaceDN/>
        <w:bidi w:val="0"/>
        <w:spacing w:line="600" w:lineRule="exact"/>
        <w:textAlignment w:val="auto"/>
        <w:rPr>
          <w:rFonts w:ascii="黑体" w:hAnsi="黑体" w:eastAsia="黑体"/>
          <w:b w:val="0"/>
          <w:bCs w:val="0"/>
          <w:sz w:val="32"/>
          <w:szCs w:val="48"/>
        </w:rPr>
      </w:pPr>
      <w:r>
        <w:rPr>
          <w:rFonts w:ascii="黑体" w:hAnsi="黑体" w:eastAsia="黑体"/>
          <w:b w:val="0"/>
          <w:bCs w:val="0"/>
          <w:sz w:val="32"/>
          <w:szCs w:val="48"/>
        </w:rPr>
        <w:t>第五章</w:t>
      </w:r>
      <w:r>
        <w:rPr>
          <w:rFonts w:hint="eastAsia" w:ascii="黑体" w:hAnsi="黑体" w:eastAsia="黑体"/>
          <w:b w:val="0"/>
          <w:bCs w:val="0"/>
          <w:sz w:val="32"/>
          <w:szCs w:val="48"/>
          <w:lang w:val="en-US" w:eastAsia="zh-CN"/>
        </w:rPr>
        <w:t xml:space="preserve"> </w:t>
      </w:r>
      <w:r>
        <w:rPr>
          <w:rFonts w:hint="eastAsia" w:ascii="黑体" w:hAnsi="黑体" w:eastAsia="黑体"/>
          <w:b w:val="0"/>
          <w:bCs w:val="0"/>
          <w:sz w:val="32"/>
          <w:szCs w:val="48"/>
        </w:rPr>
        <w:t xml:space="preserve"> </w:t>
      </w:r>
      <w:bookmarkEnd w:id="345"/>
      <w:bookmarkEnd w:id="346"/>
      <w:bookmarkEnd w:id="347"/>
      <w:bookmarkEnd w:id="348"/>
      <w:bookmarkEnd w:id="349"/>
      <w:bookmarkEnd w:id="350"/>
      <w:bookmarkEnd w:id="351"/>
      <w:bookmarkEnd w:id="352"/>
      <w:bookmarkEnd w:id="353"/>
      <w:bookmarkEnd w:id="354"/>
      <w:r>
        <w:rPr>
          <w:rFonts w:hint="eastAsia" w:ascii="黑体" w:hAnsi="黑体" w:eastAsia="黑体"/>
          <w:b w:val="0"/>
          <w:bCs w:val="0"/>
          <w:sz w:val="32"/>
          <w:szCs w:val="48"/>
        </w:rPr>
        <w:t>完善市场经济体制机制</w:t>
      </w:r>
      <w:bookmarkEnd w:id="355"/>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按照习近平总书记在宁德工作期间提出的“软环境建设方面，我们就很有一篇好文章可作”的要求，坚持社会主义市场经济改革方向，推动有效市场和有为政府更好结合，着力打造国内一流的营商环境。</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356" w:name="_Toc25464"/>
      <w:bookmarkStart w:id="357" w:name="_Toc4794"/>
      <w:bookmarkStart w:id="358" w:name="_Toc26526"/>
      <w:bookmarkStart w:id="359" w:name="_Toc31480"/>
      <w:bookmarkStart w:id="360" w:name="_Toc21195"/>
      <w:bookmarkStart w:id="361" w:name="_Toc11697"/>
      <w:bookmarkStart w:id="362" w:name="_Toc14298"/>
      <w:bookmarkStart w:id="363" w:name="_Toc25816"/>
      <w:bookmarkStart w:id="364" w:name="_Toc23374"/>
      <w:bookmarkStart w:id="365" w:name="_Toc61117357"/>
      <w:bookmarkStart w:id="366" w:name="_Toc415"/>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第一节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打造国内一流营商环境</w:t>
      </w:r>
      <w:bookmarkEnd w:id="356"/>
      <w:bookmarkEnd w:id="357"/>
      <w:bookmarkEnd w:id="358"/>
      <w:bookmarkEnd w:id="359"/>
      <w:bookmarkEnd w:id="360"/>
      <w:bookmarkEnd w:id="361"/>
      <w:bookmarkEnd w:id="362"/>
      <w:bookmarkEnd w:id="363"/>
      <w:bookmarkEnd w:id="364"/>
      <w:bookmarkEnd w:id="365"/>
      <w:bookmarkEnd w:id="366"/>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加强机关效能建设，健全“马上就办、真抓实干”工作机制，深化“放管服”改革，加快“信用宁德”建设，推进政府服务标准化、规范化、便利化，大力建设高效服务型政府。</w:t>
      </w:r>
    </w:p>
    <w:p>
      <w:pPr>
        <w:pStyle w:val="5"/>
        <w:pageBreakBefore w:val="0"/>
        <w:kinsoku/>
        <w:wordWrap/>
        <w:overflowPunct/>
        <w:topLinePunct w:val="0"/>
        <w:autoSpaceDE/>
        <w:autoSpaceDN/>
        <w:bidi w:val="0"/>
        <w:spacing w:line="600" w:lineRule="exact"/>
        <w:ind w:firstLine="602"/>
        <w:textAlignment w:val="auto"/>
      </w:pPr>
      <w:r>
        <w:rPr>
          <w:rFonts w:hint="eastAsia"/>
        </w:rPr>
        <w:t>一、深化“放管服”改革</w:t>
      </w:r>
    </w:p>
    <w:p>
      <w:pPr>
        <w:pageBreakBefore w:val="0"/>
        <w:kinsoku/>
        <w:wordWrap/>
        <w:overflowPunct/>
        <w:topLinePunct w:val="0"/>
        <w:autoSpaceDE/>
        <w:autoSpaceDN/>
        <w:bidi w:val="0"/>
        <w:spacing w:line="600" w:lineRule="exact"/>
        <w:ind w:firstLine="600"/>
        <w:textAlignment w:val="auto"/>
      </w:pPr>
      <w:r>
        <w:rPr>
          <w:rFonts w:hint="eastAsia"/>
        </w:rPr>
        <w:t>全面落实“一趟不用跑”和“最多跑一趟”办事清单，深化“一窗受理、集成服务”和“一件事”套餐改革，全面推行政务服务“马上办、网上办”，扩大“跨省通办”“省内通办”政务服务事项。加快推进“互联网</w:t>
      </w:r>
      <w:r>
        <w:rPr>
          <w:rFonts w:ascii="仿宋_GB2312"/>
        </w:rPr>
        <w:t>+</w:t>
      </w:r>
      <w:r>
        <w:rPr>
          <w:rFonts w:hint="eastAsia"/>
        </w:rPr>
        <w:t>政务服务”，完善“</w:t>
      </w:r>
      <w:r>
        <w:rPr>
          <w:rFonts w:hint="eastAsia" w:ascii="仿宋_GB2312"/>
        </w:rPr>
        <w:t>i</w:t>
      </w:r>
      <w:r>
        <w:rPr>
          <w:rFonts w:hint="eastAsia"/>
        </w:rPr>
        <w:t>宁德”智慧政务平台功能，构建完善全市统一、多级互联的数据汇聚共享交换平台体系和政务服务综合平台，实现政务服务一网通办。深化商事制度和工程建设项目审批制度改革，优化精简开办企业、办理施工许可、跨境贸易、获得电力、不动产登记等审批事项办理流程，复制推广自贸区“证照分离”改革经验，打通企业进入市场“最后一公里”。全面推进决策、执行、管理、服务、结果公开，加强行政法规、规章、规范性文件等重点政务信息公开。全面实施市场准入负面清单制度，落实“全国一张清单”管理模式。全面推行“双随机、一公开”联合监管。推进统计现代化改革。</w:t>
      </w:r>
    </w:p>
    <w:p>
      <w:pPr>
        <w:pStyle w:val="5"/>
        <w:pageBreakBefore w:val="0"/>
        <w:kinsoku/>
        <w:wordWrap/>
        <w:overflowPunct/>
        <w:topLinePunct w:val="0"/>
        <w:autoSpaceDE/>
        <w:autoSpaceDN/>
        <w:bidi w:val="0"/>
        <w:spacing w:line="600" w:lineRule="exact"/>
        <w:ind w:firstLine="602"/>
        <w:textAlignment w:val="auto"/>
      </w:pPr>
      <w:r>
        <w:rPr>
          <w:rFonts w:hint="eastAsia"/>
        </w:rPr>
        <w:t>二、深化行业协会、商会和中介机构改革</w:t>
      </w:r>
    </w:p>
    <w:p>
      <w:pPr>
        <w:pageBreakBefore w:val="0"/>
        <w:kinsoku/>
        <w:wordWrap/>
        <w:overflowPunct/>
        <w:topLinePunct w:val="0"/>
        <w:autoSpaceDE/>
        <w:autoSpaceDN/>
        <w:bidi w:val="0"/>
        <w:spacing w:line="600" w:lineRule="exact"/>
        <w:ind w:firstLine="600"/>
        <w:textAlignment w:val="auto"/>
      </w:pPr>
      <w:r>
        <w:rPr>
          <w:rFonts w:hint="eastAsia"/>
        </w:rPr>
        <w:t>进一步厘清政府与行业协会、商会的边界，全面推行行业协会、商会与行政机关脱钩改革，鼓励行业协会、商会参与制定修订相关标准和政策文件，推动行业企业自律，维护行业企业合法权益，促进行业协会、商会自主运行、有序竞争、优化发展。依法整治“红顶中介”，放宽中介机构准入条件，破除服务垄断，规范收费行为，完善中介服务执业规则和管理制度，加快建立公开透明的中介服务市场。</w:t>
      </w:r>
    </w:p>
    <w:p>
      <w:pPr>
        <w:pStyle w:val="5"/>
        <w:pageBreakBefore w:val="0"/>
        <w:kinsoku/>
        <w:wordWrap/>
        <w:overflowPunct/>
        <w:topLinePunct w:val="0"/>
        <w:autoSpaceDE/>
        <w:autoSpaceDN/>
        <w:bidi w:val="0"/>
        <w:spacing w:line="600" w:lineRule="exact"/>
        <w:ind w:firstLine="602"/>
        <w:textAlignment w:val="auto"/>
      </w:pPr>
      <w:r>
        <w:rPr>
          <w:rFonts w:hint="eastAsia"/>
        </w:rPr>
        <w:t>三、推进“信用宁德”建设</w:t>
      </w:r>
    </w:p>
    <w:p>
      <w:pPr>
        <w:pageBreakBefore w:val="0"/>
        <w:kinsoku/>
        <w:wordWrap/>
        <w:overflowPunct/>
        <w:topLinePunct w:val="0"/>
        <w:autoSpaceDE/>
        <w:autoSpaceDN/>
        <w:bidi w:val="0"/>
        <w:spacing w:line="600" w:lineRule="exact"/>
        <w:ind w:firstLine="600"/>
        <w:textAlignment w:val="auto"/>
      </w:pPr>
      <w:r>
        <w:rPr>
          <w:rFonts w:hint="eastAsia"/>
        </w:rPr>
        <w:t>全面建立权威、统一的市场主体信用记录体系，搭建宁德市信用信息综合服务平台，实现社会信用信息可查可核可溯。依托“信用中国”网站等渠道，全面推进信用监管信息公开公示。建立失信、守信“黑红名单”制度，落实信用挂钩信贷融资机制，优先为诚信企业提供金融支持。持续推进“互联网</w:t>
      </w:r>
      <w:r>
        <w:rPr>
          <w:rFonts w:ascii="仿宋_GB2312"/>
        </w:rPr>
        <w:t>+</w:t>
      </w:r>
      <w:r>
        <w:rPr>
          <w:rFonts w:hint="eastAsia"/>
        </w:rPr>
        <w:t>监管”建设，做到失信行为早发现、早预警，加快构建跨地区、跨行业、跨领域的失信联合惩戒机制，积极培育良好的社会诚信氛围。</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367" w:name="_Toc6946"/>
      <w:bookmarkStart w:id="368" w:name="_Toc974"/>
      <w:bookmarkStart w:id="369" w:name="_Toc7445"/>
      <w:bookmarkStart w:id="370" w:name="_Toc19603"/>
      <w:bookmarkStart w:id="371" w:name="_Toc2739"/>
      <w:bookmarkStart w:id="372" w:name="_Toc30502"/>
      <w:bookmarkStart w:id="373" w:name="_Toc11619"/>
      <w:bookmarkStart w:id="374" w:name="_Toc4805"/>
      <w:bookmarkStart w:id="375" w:name="_Toc23295"/>
      <w:bookmarkStart w:id="376" w:name="_Toc17342"/>
      <w:bookmarkStart w:id="377" w:name="_Toc61117358"/>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第二节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激发市场主体活力</w:t>
      </w:r>
      <w:bookmarkEnd w:id="367"/>
      <w:bookmarkEnd w:id="368"/>
      <w:bookmarkEnd w:id="369"/>
      <w:bookmarkEnd w:id="370"/>
      <w:bookmarkEnd w:id="371"/>
      <w:bookmarkEnd w:id="372"/>
      <w:bookmarkEnd w:id="373"/>
      <w:bookmarkEnd w:id="374"/>
      <w:bookmarkEnd w:id="375"/>
      <w:bookmarkEnd w:id="376"/>
      <w:bookmarkEnd w:id="377"/>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推动国有企业改革，助力民营企业发展，提升工业园区载体功能，充分发挥军民融合优势，大力激发市场主体活力，增强经济社会发展动能。</w:t>
      </w:r>
    </w:p>
    <w:p>
      <w:pPr>
        <w:pStyle w:val="5"/>
        <w:pageBreakBefore w:val="0"/>
        <w:kinsoku/>
        <w:wordWrap/>
        <w:overflowPunct/>
        <w:topLinePunct w:val="0"/>
        <w:autoSpaceDE/>
        <w:autoSpaceDN/>
        <w:bidi w:val="0"/>
        <w:spacing w:line="600" w:lineRule="exact"/>
        <w:ind w:firstLine="602"/>
        <w:textAlignment w:val="auto"/>
      </w:pPr>
      <w:r>
        <w:rPr>
          <w:rFonts w:hint="eastAsia"/>
        </w:rPr>
        <w:t>一、实施国有企业改革行动</w:t>
      </w:r>
    </w:p>
    <w:p>
      <w:pPr>
        <w:pageBreakBefore w:val="0"/>
        <w:kinsoku/>
        <w:wordWrap/>
        <w:overflowPunct/>
        <w:topLinePunct w:val="0"/>
        <w:autoSpaceDE/>
        <w:autoSpaceDN/>
        <w:bidi w:val="0"/>
        <w:spacing w:line="600" w:lineRule="exact"/>
        <w:ind w:firstLine="600"/>
        <w:textAlignment w:val="auto"/>
        <w:rPr>
          <w:rFonts w:ascii="宋体" w:hAnsi="宋体" w:eastAsia="宋体" w:cs="宋体"/>
        </w:rPr>
      </w:pPr>
      <w:r>
        <w:rPr>
          <w:rFonts w:hint="eastAsia"/>
        </w:rPr>
        <w:t>深入实施国企改革三年行动，稳妥推进市属国企混改和股权多元化工作。逐步推行职业经理人制度，深化国企劳动、人事、分配制度改革，健全以管资本为主的国有资产监管体制。支持国有企业积极参与三都澳开发建设、融入主导产业发展，全面参与基础设施、城市运营、大物流以及新区开发等领域，推动市属国有企业从融资性企业向经营性企业转变。</w:t>
      </w:r>
    </w:p>
    <w:p>
      <w:pPr>
        <w:pStyle w:val="5"/>
        <w:pageBreakBefore w:val="0"/>
        <w:kinsoku/>
        <w:wordWrap/>
        <w:overflowPunct/>
        <w:topLinePunct w:val="0"/>
        <w:autoSpaceDE/>
        <w:autoSpaceDN/>
        <w:bidi w:val="0"/>
        <w:spacing w:line="600" w:lineRule="exact"/>
        <w:ind w:firstLine="602"/>
        <w:textAlignment w:val="auto"/>
      </w:pPr>
      <w:r>
        <w:rPr>
          <w:rFonts w:hint="eastAsia"/>
        </w:rPr>
        <w:t>二、大力支持民营企业发展</w:t>
      </w:r>
    </w:p>
    <w:p>
      <w:pPr>
        <w:pageBreakBefore w:val="0"/>
        <w:kinsoku/>
        <w:wordWrap/>
        <w:overflowPunct/>
        <w:topLinePunct w:val="0"/>
        <w:autoSpaceDE/>
        <w:autoSpaceDN/>
        <w:bidi w:val="0"/>
        <w:spacing w:line="600" w:lineRule="exact"/>
        <w:ind w:firstLine="600"/>
        <w:textAlignment w:val="auto"/>
      </w:pPr>
      <w:r>
        <w:rPr>
          <w:rFonts w:hint="eastAsia" w:ascii="Arial" w:hAnsi="Arial" w:cs="Arial"/>
          <w:color w:val="191919"/>
          <w:szCs w:val="30"/>
          <w:shd w:val="clear" w:color="auto" w:fill="FFFFFF"/>
        </w:rPr>
        <w:t>构建亲清新型政商关系，</w:t>
      </w:r>
      <w:r>
        <w:rPr>
          <w:rFonts w:hint="eastAsia"/>
        </w:rPr>
        <w:t>畅通政商双向沟通渠道，健全企业家恳谈会机制和领导干部联系企业制度</w:t>
      </w:r>
      <w:r>
        <w:rPr>
          <w:rFonts w:hint="eastAsia" w:ascii="Arial" w:hAnsi="Arial" w:cs="Arial"/>
          <w:color w:val="191919"/>
          <w:szCs w:val="30"/>
          <w:shd w:val="clear" w:color="auto" w:fill="FFFFFF"/>
        </w:rPr>
        <w:t>，提高“政企直通车”服务效能。</w:t>
      </w:r>
      <w:r>
        <w:rPr>
          <w:rFonts w:hint="eastAsia"/>
        </w:rPr>
        <w:t>支持民营企业通过出资入股、收购股权、认购可转债等多种方式参与国有企业混合所有制改革。加强对民营企业全生命周期服务，落实用地、用电、税收等方面惠企政策，加大对民营企业信贷支持，切实减轻企业负担。鼓励民营企业转型升级，重点扶持民营企业申报国家和省级高新技术企业、知识产权优势企业。引导民营企业建立现代企业制度，推进“个转企、小升规、规改股、股上市”。</w:t>
      </w:r>
    </w:p>
    <w:p>
      <w:pPr>
        <w:pStyle w:val="5"/>
        <w:pageBreakBefore w:val="0"/>
        <w:kinsoku/>
        <w:wordWrap/>
        <w:overflowPunct/>
        <w:topLinePunct w:val="0"/>
        <w:autoSpaceDE/>
        <w:autoSpaceDN/>
        <w:bidi w:val="0"/>
        <w:spacing w:line="600" w:lineRule="exact"/>
        <w:ind w:firstLine="602"/>
        <w:textAlignment w:val="auto"/>
      </w:pPr>
      <w:r>
        <w:rPr>
          <w:rFonts w:hint="eastAsia"/>
        </w:rPr>
        <w:t>三、推动工业园区整合提升</w:t>
      </w:r>
    </w:p>
    <w:p>
      <w:pPr>
        <w:pageBreakBefore w:val="0"/>
        <w:kinsoku/>
        <w:wordWrap/>
        <w:overflowPunct/>
        <w:topLinePunct w:val="0"/>
        <w:autoSpaceDE/>
        <w:autoSpaceDN/>
        <w:bidi w:val="0"/>
        <w:spacing w:line="600" w:lineRule="exact"/>
        <w:ind w:firstLine="600"/>
        <w:textAlignment w:val="auto"/>
      </w:pPr>
      <w:r>
        <w:rPr>
          <w:rFonts w:hint="eastAsia"/>
        </w:rPr>
        <w:t>积极争取国家和省级支持，坚持“一县一区、一区多园”基本原则，以大带小、以强扶弱，稳步推进开发区和各类工业集中区的整合提升。推行“管委会</w:t>
      </w:r>
      <w:r>
        <w:rPr>
          <w:rFonts w:hint="eastAsia" w:ascii="仿宋_GB2312"/>
        </w:rPr>
        <w:t>+</w:t>
      </w:r>
      <w:r>
        <w:rPr>
          <w:rFonts w:hint="eastAsia"/>
        </w:rPr>
        <w:t>公司”体制，推进“扁平化”“大部门制”的管理体制，精简开发区管理机构和管理人员。引进培育具有较强运营能力和资本实力的园区运营平台，推动国企参与园区建设运营，做活做优工业园区。</w:t>
      </w:r>
    </w:p>
    <w:p>
      <w:pPr>
        <w:pStyle w:val="5"/>
        <w:pageBreakBefore w:val="0"/>
        <w:kinsoku/>
        <w:wordWrap/>
        <w:overflowPunct/>
        <w:topLinePunct w:val="0"/>
        <w:autoSpaceDE/>
        <w:autoSpaceDN/>
        <w:bidi w:val="0"/>
        <w:spacing w:line="600" w:lineRule="exact"/>
        <w:ind w:firstLine="602"/>
        <w:textAlignment w:val="auto"/>
      </w:pPr>
      <w:r>
        <w:rPr>
          <w:rFonts w:hint="eastAsia"/>
        </w:rPr>
        <w:t>四、持续深化军民融合发展</w:t>
      </w:r>
    </w:p>
    <w:p>
      <w:pPr>
        <w:pageBreakBefore w:val="0"/>
        <w:kinsoku/>
        <w:wordWrap/>
        <w:overflowPunct/>
        <w:topLinePunct w:val="0"/>
        <w:autoSpaceDE/>
        <w:autoSpaceDN/>
        <w:bidi w:val="0"/>
        <w:spacing w:line="600" w:lineRule="exact"/>
        <w:ind w:firstLine="600"/>
        <w:textAlignment w:val="auto"/>
      </w:pPr>
      <w:r>
        <w:rPr>
          <w:rFonts w:hint="eastAsia"/>
        </w:rPr>
        <w:t>积极参与推进“民参军”市场准入机制创新，支持宁德市军民融合企业参与军工科研院所、军工企业改制重组，加快国防科技工业建设，推进高校、龙头企业与军工科研院所、军工央企成立军民两用技术应用转化中心，推动两用技术创新成果转化推广应用。加强军民通用技术标准制定、共享、共用。引导金融机构加大对宁德军民融合重点领域支持。</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378" w:name="_Toc13230"/>
      <w:bookmarkStart w:id="379" w:name="_Toc16230"/>
      <w:bookmarkStart w:id="380" w:name="_Toc7952"/>
      <w:bookmarkStart w:id="381" w:name="_Toc12912"/>
      <w:bookmarkStart w:id="382" w:name="_Toc17177"/>
      <w:bookmarkStart w:id="383" w:name="_Toc4921"/>
      <w:bookmarkStart w:id="384" w:name="_Toc61117359"/>
      <w:bookmarkStart w:id="385" w:name="_Toc29710"/>
      <w:bookmarkStart w:id="386" w:name="_Toc5754"/>
      <w:bookmarkStart w:id="387" w:name="_Toc8845"/>
      <w:bookmarkStart w:id="388" w:name="_Toc25245"/>
    </w:p>
    <w:p>
      <w:pPr>
        <w:pStyle w:val="4"/>
        <w:pageBreakBefore w:val="0"/>
        <w:numPr>
          <w:ilvl w:val="0"/>
          <w:numId w:val="5"/>
        </w:numPr>
        <w:kinsoku/>
        <w:wordWrap/>
        <w:overflowPunct/>
        <w:topLinePunct w:val="0"/>
        <w:autoSpaceDE/>
        <w:autoSpaceDN/>
        <w:bidi w:val="0"/>
        <w:spacing w:beforeLines="0" w:afterLines="0" w:line="600" w:lineRule="exact"/>
        <w:ind w:left="0" w:leftChars="0" w:firstLine="0" w:firstLineChars="0"/>
        <w:textAlignment w:val="auto"/>
        <w:rPr>
          <w:rFonts w:hint="eastAsia" w:ascii="楷体" w:hAnsi="楷体" w:eastAsia="楷体"/>
          <w:sz w:val="32"/>
          <w:szCs w:val="36"/>
        </w:rPr>
      </w:pPr>
      <w:r>
        <w:rPr>
          <w:rFonts w:ascii="楷体" w:hAnsi="楷体" w:eastAsia="楷体"/>
          <w:sz w:val="32"/>
          <w:szCs w:val="36"/>
        </w:rPr>
        <w:t xml:space="preserve"> </w:t>
      </w:r>
      <w:r>
        <w:rPr>
          <w:rFonts w:hint="eastAsia" w:ascii="楷体" w:hAnsi="楷体" w:eastAsia="楷体"/>
          <w:sz w:val="32"/>
          <w:szCs w:val="36"/>
        </w:rPr>
        <w:t>增强经济发展动力</w:t>
      </w:r>
      <w:bookmarkEnd w:id="378"/>
      <w:bookmarkEnd w:id="379"/>
      <w:bookmarkEnd w:id="380"/>
      <w:bookmarkEnd w:id="381"/>
      <w:bookmarkEnd w:id="382"/>
      <w:bookmarkEnd w:id="383"/>
      <w:bookmarkEnd w:id="384"/>
      <w:bookmarkEnd w:id="385"/>
      <w:bookmarkEnd w:id="386"/>
      <w:bookmarkEnd w:id="387"/>
      <w:bookmarkEnd w:id="388"/>
    </w:p>
    <w:p>
      <w:pPr>
        <w:numPr>
          <w:ilvl w:val="0"/>
          <w:numId w:val="0"/>
        </w:numPr>
        <w:ind w:leftChars="0"/>
      </w:pPr>
    </w:p>
    <w:p>
      <w:pPr>
        <w:pageBreakBefore w:val="0"/>
        <w:kinsoku/>
        <w:wordWrap/>
        <w:overflowPunct/>
        <w:topLinePunct w:val="0"/>
        <w:autoSpaceDE/>
        <w:autoSpaceDN/>
        <w:bidi w:val="0"/>
        <w:spacing w:line="600" w:lineRule="exact"/>
        <w:ind w:firstLine="600"/>
        <w:textAlignment w:val="auto"/>
      </w:pPr>
      <w:r>
        <w:rPr>
          <w:rFonts w:hint="eastAsia"/>
        </w:rPr>
        <w:t>立足宁德产业发展特点，实施经济领域改革试点工作，积极推进普惠金融改革试验区创建，推动流通领域改革，加快融入新发展格局。</w:t>
      </w:r>
    </w:p>
    <w:p>
      <w:pPr>
        <w:pStyle w:val="5"/>
        <w:pageBreakBefore w:val="0"/>
        <w:kinsoku/>
        <w:wordWrap/>
        <w:overflowPunct/>
        <w:topLinePunct w:val="0"/>
        <w:autoSpaceDE/>
        <w:autoSpaceDN/>
        <w:bidi w:val="0"/>
        <w:spacing w:line="600" w:lineRule="exact"/>
        <w:ind w:firstLine="602"/>
        <w:textAlignment w:val="auto"/>
      </w:pPr>
      <w:r>
        <w:rPr>
          <w:rFonts w:hint="eastAsia"/>
        </w:rPr>
        <w:t>一、构建完善地方财税体系</w:t>
      </w:r>
    </w:p>
    <w:p>
      <w:pPr>
        <w:pageBreakBefore w:val="0"/>
        <w:kinsoku/>
        <w:wordWrap/>
        <w:overflowPunct/>
        <w:topLinePunct w:val="0"/>
        <w:autoSpaceDE/>
        <w:autoSpaceDN/>
        <w:bidi w:val="0"/>
        <w:spacing w:line="600" w:lineRule="exact"/>
        <w:ind w:firstLine="600"/>
        <w:textAlignment w:val="auto"/>
      </w:pPr>
      <w:r>
        <w:rPr>
          <w:rFonts w:hint="eastAsia"/>
        </w:rPr>
        <w:t>加强财政资源统筹，完善中心城区财权事权和支出责任划分办法，健全市对县财政转移支付制度</w:t>
      </w:r>
      <w:r>
        <w:t>。</w:t>
      </w:r>
      <w:r>
        <w:rPr>
          <w:rFonts w:hint="eastAsia"/>
        </w:rPr>
        <w:t>加强预算编制和执行管理，加大预算公开制度，深入推进零基预算管理，构建以绩效为中心的集中财力办大事财政政策体系和资金管理机制。健全规范政府举债融资机制，强化政府债务限额管理和风险防控。落实税法授权地方事项，深化税收征管制度改革。用好用足地方税管理权限，推进地方税体系建设。</w:t>
      </w:r>
    </w:p>
    <w:p>
      <w:pPr>
        <w:pStyle w:val="5"/>
        <w:pageBreakBefore w:val="0"/>
        <w:kinsoku/>
        <w:wordWrap/>
        <w:overflowPunct/>
        <w:topLinePunct w:val="0"/>
        <w:autoSpaceDE/>
        <w:autoSpaceDN/>
        <w:bidi w:val="0"/>
        <w:spacing w:line="600" w:lineRule="exact"/>
        <w:ind w:firstLine="602"/>
        <w:textAlignment w:val="auto"/>
      </w:pPr>
      <w:r>
        <w:rPr>
          <w:rFonts w:hint="eastAsia"/>
        </w:rPr>
        <w:t>二、积极实施普惠金融改革</w:t>
      </w:r>
    </w:p>
    <w:p>
      <w:pPr>
        <w:pageBreakBefore w:val="0"/>
        <w:kinsoku/>
        <w:wordWrap/>
        <w:overflowPunct/>
        <w:topLinePunct w:val="0"/>
        <w:autoSpaceDE/>
        <w:autoSpaceDN/>
        <w:bidi w:val="0"/>
        <w:spacing w:line="600" w:lineRule="exact"/>
        <w:ind w:firstLine="600"/>
        <w:textAlignment w:val="auto"/>
      </w:pPr>
      <w:r>
        <w:rPr>
          <w:rFonts w:hint="eastAsia"/>
        </w:rPr>
        <w:t>扎实推进国家级普惠金融改革试验区创建工作，加快普惠金融服务网点和普惠金融服务中心建设。加大保障重点产业金融需求，强化小微企业金融服务，提高全社会融资增量和普惠金融增量。探索具有闽东特色的金融服务乡村振兴模式，推广“渔排养殖贷”成功经验，研究推出“山海”系列信贷产品，打响“绿色银行”“蓝色银行”品牌。深化金融信息化建设，推广运用福建省金融服务云平台，建设宁德市融资服务与信息共享平台，加快数字普惠金融创新应用。支持中小银行和农村信用社持续健康发展。建立健全金融风险预警、处置、问责机制，营造良好金融生态环境。</w:t>
      </w:r>
    </w:p>
    <w:p>
      <w:pPr>
        <w:pStyle w:val="5"/>
        <w:pageBreakBefore w:val="0"/>
        <w:kinsoku/>
        <w:wordWrap/>
        <w:overflowPunct/>
        <w:topLinePunct w:val="0"/>
        <w:autoSpaceDE/>
        <w:autoSpaceDN/>
        <w:bidi w:val="0"/>
        <w:spacing w:line="600" w:lineRule="exact"/>
        <w:ind w:firstLine="602"/>
        <w:textAlignment w:val="auto"/>
      </w:pPr>
      <w:r>
        <w:rPr>
          <w:rFonts w:hint="eastAsia"/>
        </w:rPr>
        <w:t>三、深入推动流通领域改革</w:t>
      </w:r>
    </w:p>
    <w:p>
      <w:pPr>
        <w:pageBreakBefore w:val="0"/>
        <w:kinsoku/>
        <w:wordWrap/>
        <w:overflowPunct/>
        <w:topLinePunct w:val="0"/>
        <w:autoSpaceDE/>
        <w:autoSpaceDN/>
        <w:bidi w:val="0"/>
        <w:spacing w:line="600" w:lineRule="exact"/>
        <w:ind w:firstLine="600"/>
        <w:textAlignment w:val="auto"/>
      </w:pPr>
      <w:r>
        <w:rPr>
          <w:rFonts w:hint="eastAsia"/>
        </w:rPr>
        <w:t>建立健全分工明晰、权责统一、协调高效的流通管理体制，完善各部门协作机制，提升管理效能。消除地区封锁及行业垄断，鼓励民间资本进入流通领域，保障民营企业合法权益，促进民营企业健康发展。推动传统流通产业向数字化、智能化转型升级，强化标准化建设和绿色发展。支持有条件的流通企业通过新建、并购、参股、增资等方式向海外布局营销网络和物流服务网络。</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389" w:name="_Toc6541"/>
      <w:bookmarkStart w:id="390" w:name="_Toc7620"/>
      <w:bookmarkStart w:id="391" w:name="_Toc21424"/>
      <w:bookmarkStart w:id="392" w:name="_Toc13197"/>
      <w:bookmarkStart w:id="393" w:name="_Toc1678"/>
      <w:bookmarkStart w:id="394" w:name="_Toc30892"/>
      <w:bookmarkStart w:id="395" w:name="_Toc29134"/>
      <w:bookmarkStart w:id="396" w:name="_Toc27531"/>
      <w:bookmarkStart w:id="397" w:name="_Toc16415"/>
      <w:bookmarkStart w:id="398" w:name="_Toc61117360"/>
      <w:bookmarkStart w:id="399" w:name="_Toc8241"/>
    </w:p>
    <w:p>
      <w:pPr>
        <w:pStyle w:val="4"/>
        <w:pageBreakBefore w:val="0"/>
        <w:numPr>
          <w:ilvl w:val="0"/>
          <w:numId w:val="5"/>
        </w:numPr>
        <w:kinsoku/>
        <w:wordWrap/>
        <w:overflowPunct/>
        <w:topLinePunct w:val="0"/>
        <w:autoSpaceDE/>
        <w:autoSpaceDN/>
        <w:bidi w:val="0"/>
        <w:spacing w:beforeLines="0" w:afterLines="0" w:line="600" w:lineRule="exact"/>
        <w:ind w:left="0" w:leftChars="0" w:firstLine="0" w:firstLineChars="0"/>
        <w:textAlignment w:val="auto"/>
        <w:rPr>
          <w:rFonts w:hint="eastAsia" w:ascii="楷体" w:hAnsi="楷体" w:eastAsia="楷体"/>
          <w:sz w:val="32"/>
          <w:szCs w:val="36"/>
        </w:rPr>
      </w:pPr>
      <w:r>
        <w:rPr>
          <w:rFonts w:ascii="楷体" w:hAnsi="楷体" w:eastAsia="楷体"/>
          <w:sz w:val="32"/>
          <w:szCs w:val="36"/>
        </w:rPr>
        <w:t xml:space="preserve"> </w:t>
      </w:r>
      <w:r>
        <w:rPr>
          <w:rFonts w:hint="eastAsia" w:ascii="楷体" w:hAnsi="楷体" w:eastAsia="楷体"/>
          <w:sz w:val="32"/>
          <w:szCs w:val="36"/>
        </w:rPr>
        <w:t>完善现代市场体系</w:t>
      </w:r>
      <w:bookmarkEnd w:id="389"/>
      <w:bookmarkEnd w:id="390"/>
      <w:bookmarkEnd w:id="391"/>
      <w:bookmarkEnd w:id="392"/>
      <w:bookmarkEnd w:id="393"/>
      <w:bookmarkEnd w:id="394"/>
      <w:bookmarkEnd w:id="395"/>
      <w:bookmarkEnd w:id="396"/>
      <w:bookmarkEnd w:id="397"/>
      <w:bookmarkEnd w:id="398"/>
      <w:bookmarkEnd w:id="399"/>
    </w:p>
    <w:p>
      <w:pPr>
        <w:numPr>
          <w:ilvl w:val="0"/>
          <w:numId w:val="0"/>
        </w:numPr>
        <w:ind w:leftChars="0"/>
      </w:pPr>
    </w:p>
    <w:p>
      <w:pPr>
        <w:pageBreakBefore w:val="0"/>
        <w:kinsoku/>
        <w:wordWrap/>
        <w:overflowPunct/>
        <w:topLinePunct w:val="0"/>
        <w:autoSpaceDE/>
        <w:autoSpaceDN/>
        <w:bidi w:val="0"/>
        <w:spacing w:line="600" w:lineRule="exact"/>
        <w:ind w:firstLine="600"/>
        <w:textAlignment w:val="auto"/>
      </w:pPr>
      <w:r>
        <w:rPr>
          <w:rFonts w:hint="eastAsia"/>
        </w:rPr>
        <w:t>加快推进要素市场化改革，健全产权保护制度，营造公平竞争的市场环境，构建多层次、多元化、相互联系的高标准市场体系，充分发挥市场在资源配置中的决定性作用。</w:t>
      </w:r>
    </w:p>
    <w:p>
      <w:pPr>
        <w:pStyle w:val="5"/>
        <w:pageBreakBefore w:val="0"/>
        <w:kinsoku/>
        <w:wordWrap/>
        <w:overflowPunct/>
        <w:topLinePunct w:val="0"/>
        <w:autoSpaceDE/>
        <w:autoSpaceDN/>
        <w:bidi w:val="0"/>
        <w:spacing w:line="600" w:lineRule="exact"/>
        <w:ind w:firstLine="602"/>
        <w:textAlignment w:val="auto"/>
      </w:pPr>
      <w:r>
        <w:rPr>
          <w:rFonts w:hint="eastAsia"/>
        </w:rPr>
        <w:t>一、推进要素市场化改革</w:t>
      </w:r>
    </w:p>
    <w:p>
      <w:pPr>
        <w:pageBreakBefore w:val="0"/>
        <w:kinsoku/>
        <w:wordWrap/>
        <w:overflowPunct/>
        <w:topLinePunct w:val="0"/>
        <w:autoSpaceDE/>
        <w:autoSpaceDN/>
        <w:bidi w:val="0"/>
        <w:spacing w:line="600" w:lineRule="exact"/>
        <w:ind w:firstLine="600"/>
        <w:textAlignment w:val="auto"/>
      </w:pPr>
      <w:r>
        <w:rPr>
          <w:rFonts w:hint="eastAsia"/>
        </w:rPr>
        <w:t>推进土地要素市场化配置，建立健全城乡统一的建设用地市场。完善产业用地政策，加快盘活存量土地和低效用地，保障四大主导产业和重大项目建设。畅通劳动力要素流动渠道，完善技术技能评价制度，积极推进闽东北一体化人力资源市场体系建设。实施柔性引才政策，畅通国内外人才来宁就业通道。推进技术要素市场发展，健全职务科技成果产权制度，加强知识产权保护与应用，鼓励新能源新材料等重点领域的自主知识产权市场化运营。重视国际科技创新合作，推进技术贸易，促进技术进出口。加快培育数据要素市场，推动国家级、行业级数据在宁汇聚。探索建立统一规范的数据管理制度，强化数据资源整合和安全保护。</w:t>
      </w:r>
    </w:p>
    <w:p>
      <w:pPr>
        <w:pStyle w:val="5"/>
        <w:pageBreakBefore w:val="0"/>
        <w:kinsoku/>
        <w:wordWrap/>
        <w:overflowPunct/>
        <w:topLinePunct w:val="0"/>
        <w:autoSpaceDE/>
        <w:autoSpaceDN/>
        <w:bidi w:val="0"/>
        <w:spacing w:line="600" w:lineRule="exact"/>
        <w:ind w:firstLine="602"/>
        <w:textAlignment w:val="auto"/>
      </w:pPr>
      <w:r>
        <w:rPr>
          <w:rFonts w:hint="eastAsia"/>
        </w:rPr>
        <w:t>二、完善公平竞争制度</w:t>
      </w:r>
    </w:p>
    <w:p>
      <w:pPr>
        <w:pageBreakBefore w:val="0"/>
        <w:kinsoku/>
        <w:wordWrap/>
        <w:overflowPunct/>
        <w:topLinePunct w:val="0"/>
        <w:autoSpaceDE/>
        <w:autoSpaceDN/>
        <w:bidi w:val="0"/>
        <w:spacing w:line="600" w:lineRule="exact"/>
        <w:ind w:firstLine="600"/>
        <w:textAlignment w:val="auto"/>
      </w:pPr>
      <w:r>
        <w:rPr>
          <w:rFonts w:hint="eastAsia"/>
        </w:rPr>
        <w:t>实施公平统一的市场监管制度，制定市场准入负面清单，规范信用核查和联合惩戒制度。深化要素市场化配置体制机制改革，健全市场化要素价格形成和传导机制，保障民营企业平等获得资源要素。强化公平竞争审查制度刚性约束，持续清理和废除妨碍统一市场和公平竞争的各类规定做法。建立健全投诉举报和处理回应机制。完善招投标程序监督与信息公示制度。</w:t>
      </w:r>
    </w:p>
    <w:p>
      <w:pPr>
        <w:pStyle w:val="5"/>
        <w:pageBreakBefore w:val="0"/>
        <w:kinsoku/>
        <w:wordWrap/>
        <w:overflowPunct/>
        <w:topLinePunct w:val="0"/>
        <w:autoSpaceDE/>
        <w:autoSpaceDN/>
        <w:bidi w:val="0"/>
        <w:spacing w:line="600" w:lineRule="exact"/>
        <w:ind w:firstLine="602"/>
        <w:textAlignment w:val="auto"/>
      </w:pPr>
      <w:r>
        <w:rPr>
          <w:rFonts w:hint="eastAsia"/>
        </w:rPr>
        <w:t>三、健全产权保护制度</w:t>
      </w:r>
    </w:p>
    <w:p>
      <w:pPr>
        <w:pageBreakBefore w:val="0"/>
        <w:kinsoku/>
        <w:wordWrap/>
        <w:overflowPunct/>
        <w:topLinePunct w:val="0"/>
        <w:autoSpaceDE/>
        <w:autoSpaceDN/>
        <w:bidi w:val="0"/>
        <w:spacing w:line="600" w:lineRule="exact"/>
        <w:ind w:firstLine="600"/>
        <w:textAlignment w:val="auto"/>
      </w:pPr>
      <w:r>
        <w:rPr>
          <w:rFonts w:hint="eastAsia"/>
        </w:rPr>
        <w:t>强化各种所有制经济产权保护，健全国有企业及国有资产产权保护和监管制度，建立归属清晰、权责明确、流转顺畅、保护严格、监管有效的自然资源产权制度，稳妥推进农村集体产权制度改革，提升非公有制经济产权保护力度。重点强化知识产权保护，充分发挥司法保护知识产权主导作用，加强知识产权行政执法体系建设，加大知识产权侵权行为惩治力度。营造重视和支持产权保护的良好氛围，大力宣传保护各种所有制经济产权的政策和法律法规，健全法律援助制度，完善产权纠纷多元化解机制。</w:t>
      </w:r>
    </w:p>
    <w:p>
      <w:pPr>
        <w:pageBreakBefore w:val="0"/>
        <w:widowControl/>
        <w:kinsoku/>
        <w:wordWrap/>
        <w:overflowPunct/>
        <w:topLinePunct w:val="0"/>
        <w:autoSpaceDE/>
        <w:autoSpaceDN/>
        <w:bidi w:val="0"/>
        <w:spacing w:line="600" w:lineRule="exact"/>
        <w:ind w:firstLine="0" w:firstLineChars="0"/>
        <w:jc w:val="left"/>
        <w:textAlignment w:val="auto"/>
      </w:pPr>
      <w:r>
        <w:br w:type="page"/>
      </w:r>
    </w:p>
    <w:bookmarkEnd w:id="148"/>
    <w:p>
      <w:pPr>
        <w:pStyle w:val="3"/>
        <w:keepNext/>
        <w:keepLines/>
        <w:pageBreakBefore w:val="0"/>
        <w:widowControl w:val="0"/>
        <w:kinsoku/>
        <w:wordWrap/>
        <w:overflowPunct/>
        <w:topLinePunct w:val="0"/>
        <w:autoSpaceDE/>
        <w:autoSpaceDN/>
        <w:bidi w:val="0"/>
        <w:adjustRightInd/>
        <w:snapToGrid/>
        <w:spacing w:line="380" w:lineRule="exact"/>
        <w:textAlignment w:val="auto"/>
        <w:rPr>
          <w:rFonts w:hint="eastAsia" w:ascii="黑体" w:hAnsi="黑体" w:eastAsia="黑体"/>
          <w:b w:val="0"/>
          <w:bCs w:val="0"/>
          <w:sz w:val="32"/>
          <w:szCs w:val="48"/>
        </w:rPr>
      </w:pPr>
      <w:bookmarkStart w:id="400" w:name="_Toc55722888"/>
      <w:bookmarkStart w:id="401" w:name="_Toc55935793"/>
      <w:bookmarkStart w:id="402" w:name="_Toc56970426"/>
      <w:bookmarkStart w:id="403" w:name="_Toc369"/>
      <w:bookmarkStart w:id="404" w:name="_Toc2193"/>
      <w:bookmarkStart w:id="405" w:name="_Toc13371"/>
      <w:bookmarkStart w:id="406" w:name="_Toc25222"/>
      <w:bookmarkStart w:id="407" w:name="_Toc61117361"/>
      <w:bookmarkStart w:id="408" w:name="_Toc31077"/>
      <w:bookmarkStart w:id="409" w:name="_Toc28023"/>
      <w:bookmarkStart w:id="410" w:name="_Toc20697"/>
      <w:bookmarkStart w:id="411" w:name="_Toc3858"/>
      <w:bookmarkStart w:id="412" w:name="_Toc5908"/>
      <w:bookmarkStart w:id="413" w:name="_Toc14321"/>
      <w:bookmarkStart w:id="414" w:name="_Toc27788"/>
      <w:bookmarkStart w:id="415" w:name="_Toc9267"/>
    </w:p>
    <w:p>
      <w:pPr>
        <w:pStyle w:val="3"/>
        <w:pageBreakBefore w:val="0"/>
        <w:kinsoku/>
        <w:wordWrap/>
        <w:overflowPunct/>
        <w:topLinePunct w:val="0"/>
        <w:autoSpaceDE/>
        <w:autoSpaceDN/>
        <w:bidi w:val="0"/>
        <w:spacing w:line="600" w:lineRule="exact"/>
        <w:textAlignment w:val="auto"/>
        <w:rPr>
          <w:rFonts w:ascii="黑体" w:hAnsi="黑体" w:eastAsia="黑体"/>
          <w:sz w:val="32"/>
          <w:szCs w:val="48"/>
        </w:rPr>
      </w:pPr>
      <w:r>
        <w:rPr>
          <w:rFonts w:hint="eastAsia" w:ascii="黑体" w:hAnsi="黑体" w:eastAsia="黑体"/>
          <w:b w:val="0"/>
          <w:bCs w:val="0"/>
          <w:sz w:val="32"/>
          <w:szCs w:val="48"/>
        </w:rPr>
        <w:t>第六章</w:t>
      </w:r>
      <w:r>
        <w:rPr>
          <w:rFonts w:hint="eastAsia" w:ascii="黑体" w:hAnsi="黑体" w:eastAsia="黑体"/>
          <w:b w:val="0"/>
          <w:bCs w:val="0"/>
          <w:sz w:val="32"/>
          <w:szCs w:val="48"/>
          <w:lang w:val="en-US" w:eastAsia="zh-CN"/>
        </w:rPr>
        <w:t xml:space="preserve"> </w:t>
      </w:r>
      <w:r>
        <w:rPr>
          <w:rFonts w:ascii="黑体" w:hAnsi="黑体" w:eastAsia="黑体"/>
          <w:b w:val="0"/>
          <w:bCs w:val="0"/>
          <w:sz w:val="32"/>
          <w:szCs w:val="48"/>
        </w:rPr>
        <w:t xml:space="preserve"> </w:t>
      </w:r>
      <w:bookmarkEnd w:id="400"/>
      <w:bookmarkEnd w:id="401"/>
      <w:bookmarkEnd w:id="402"/>
      <w:r>
        <w:rPr>
          <w:rFonts w:hint="eastAsia" w:ascii="黑体" w:hAnsi="黑体" w:eastAsia="黑体"/>
          <w:b w:val="0"/>
          <w:bCs w:val="0"/>
          <w:sz w:val="32"/>
          <w:szCs w:val="48"/>
        </w:rPr>
        <w:t>建设现代化基础设施体系</w:t>
      </w:r>
      <w:bookmarkEnd w:id="403"/>
      <w:bookmarkEnd w:id="404"/>
      <w:bookmarkEnd w:id="405"/>
      <w:bookmarkEnd w:id="406"/>
      <w:bookmarkEnd w:id="407"/>
      <w:bookmarkEnd w:id="408"/>
      <w:bookmarkEnd w:id="409"/>
      <w:bookmarkEnd w:id="410"/>
      <w:bookmarkEnd w:id="411"/>
      <w:bookmarkEnd w:id="412"/>
      <w:bookmarkEnd w:id="413"/>
      <w:bookmarkEnd w:id="414"/>
      <w:bookmarkEnd w:id="415"/>
    </w:p>
    <w:p>
      <w:pPr>
        <w:keepNext w:val="0"/>
        <w:keepLines w:val="0"/>
        <w:pageBreakBefore w:val="0"/>
        <w:widowControl w:val="0"/>
        <w:kinsoku/>
        <w:wordWrap/>
        <w:overflowPunct/>
        <w:topLinePunct w:val="0"/>
        <w:autoSpaceDE/>
        <w:autoSpaceDN/>
        <w:bidi w:val="0"/>
        <w:adjustRightInd/>
        <w:snapToGrid/>
        <w:spacing w:line="380" w:lineRule="exact"/>
        <w:ind w:firstLine="600"/>
        <w:textAlignment w:val="auto"/>
        <w:rPr>
          <w:rFonts w:hint="eastAsia"/>
        </w:rPr>
      </w:pPr>
    </w:p>
    <w:p>
      <w:pPr>
        <w:pageBreakBefore w:val="0"/>
        <w:widowControl w:val="0"/>
        <w:kinsoku/>
        <w:wordWrap/>
        <w:overflowPunct/>
        <w:topLinePunct w:val="0"/>
        <w:autoSpaceDE/>
        <w:autoSpaceDN/>
        <w:bidi w:val="0"/>
        <w:snapToGrid/>
        <w:spacing w:line="580" w:lineRule="exact"/>
        <w:ind w:firstLine="600"/>
        <w:textAlignment w:val="auto"/>
        <w:rPr>
          <w:rFonts w:hint="eastAsia"/>
        </w:rPr>
      </w:pPr>
      <w:r>
        <w:rPr>
          <w:rFonts w:hint="eastAsia"/>
        </w:rPr>
        <w:t>把习近平总书记提出的“交通基础设施</w:t>
      </w:r>
      <w:r>
        <w:rPr>
          <w:rFonts w:hint="eastAsia"/>
          <w:color w:val="333333"/>
          <w:shd w:val="clear" w:color="auto" w:fill="FFFFFF"/>
        </w:rPr>
        <w:t>建设具有很强的先导作用”作为根本遵循，</w:t>
      </w:r>
      <w:r>
        <w:rPr>
          <w:rFonts w:hint="eastAsia"/>
        </w:rPr>
        <w:t>坚持适度超前推进重大基础设施建设，加快实施基础设施“补短板”工程，进一步加强交通、能源、水利、市政、信息等基础设施建设，着力建设现代化基础设施体系，为宁德高质量发展提供坚实有力的支撑。</w:t>
      </w:r>
    </w:p>
    <w:p>
      <w:pPr>
        <w:keepNext w:val="0"/>
        <w:keepLines w:val="0"/>
        <w:pageBreakBefore w:val="0"/>
        <w:widowControl w:val="0"/>
        <w:kinsoku/>
        <w:wordWrap/>
        <w:overflowPunct/>
        <w:topLinePunct w:val="0"/>
        <w:autoSpaceDE/>
        <w:autoSpaceDN/>
        <w:bidi w:val="0"/>
        <w:adjustRightInd/>
        <w:snapToGrid/>
        <w:spacing w:line="380" w:lineRule="exact"/>
        <w:ind w:firstLine="600"/>
        <w:textAlignment w:val="auto"/>
        <w:rPr>
          <w:rFonts w:hint="eastAsia"/>
        </w:rPr>
      </w:pPr>
    </w:p>
    <w:p>
      <w:pPr>
        <w:pStyle w:val="4"/>
        <w:pageBreakBefore w:val="0"/>
        <w:widowControl w:val="0"/>
        <w:kinsoku/>
        <w:wordWrap/>
        <w:overflowPunct/>
        <w:topLinePunct w:val="0"/>
        <w:autoSpaceDE/>
        <w:autoSpaceDN/>
        <w:bidi w:val="0"/>
        <w:snapToGrid/>
        <w:spacing w:beforeLines="0" w:afterLines="0" w:line="580" w:lineRule="exact"/>
        <w:ind w:firstLine="0" w:firstLineChars="0"/>
        <w:textAlignment w:val="auto"/>
        <w:rPr>
          <w:rFonts w:ascii="楷体" w:hAnsi="楷体" w:eastAsia="楷体"/>
          <w:sz w:val="32"/>
          <w:szCs w:val="36"/>
        </w:rPr>
      </w:pPr>
      <w:bookmarkStart w:id="416" w:name="_Toc8589"/>
      <w:bookmarkStart w:id="417" w:name="_Toc3960"/>
      <w:bookmarkStart w:id="418" w:name="_Toc4762"/>
      <w:bookmarkStart w:id="419" w:name="_Toc57326020"/>
      <w:bookmarkStart w:id="420" w:name="_Toc17652"/>
      <w:bookmarkStart w:id="421" w:name="_Toc21914"/>
      <w:bookmarkStart w:id="422" w:name="_Toc55935794"/>
      <w:bookmarkStart w:id="423" w:name="_Toc25940"/>
      <w:bookmarkStart w:id="424" w:name="_Toc53767518"/>
      <w:bookmarkStart w:id="425" w:name="_Toc55722889"/>
      <w:bookmarkStart w:id="426" w:name="_Toc901"/>
      <w:bookmarkStart w:id="427" w:name="_Toc4747"/>
      <w:bookmarkStart w:id="428" w:name="_Toc27393"/>
      <w:bookmarkStart w:id="429" w:name="_Toc10236"/>
      <w:bookmarkStart w:id="430" w:name="_Toc61117362"/>
      <w:bookmarkStart w:id="431" w:name="_Toc9867"/>
      <w:bookmarkStart w:id="432" w:name="_Toc57320173"/>
      <w:bookmarkStart w:id="433" w:name="_Toc20775"/>
      <w:bookmarkStart w:id="434" w:name="_Toc55935795"/>
      <w:bookmarkStart w:id="435" w:name="_Toc57320174"/>
      <w:bookmarkStart w:id="436" w:name="_Toc58194562"/>
      <w:bookmarkStart w:id="437" w:name="_Toc55722890"/>
      <w:bookmarkStart w:id="438" w:name="_Toc53767519"/>
      <w:r>
        <w:rPr>
          <w:rFonts w:hint="eastAsia" w:ascii="楷体" w:hAnsi="楷体" w:eastAsia="楷体"/>
          <w:sz w:val="32"/>
          <w:szCs w:val="36"/>
        </w:rPr>
        <w:t>第一节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完善综合交通运输网络</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pPr>
        <w:keepNext w:val="0"/>
        <w:keepLines w:val="0"/>
        <w:pageBreakBefore w:val="0"/>
        <w:widowControl w:val="0"/>
        <w:kinsoku/>
        <w:wordWrap/>
        <w:overflowPunct/>
        <w:topLinePunct w:val="0"/>
        <w:autoSpaceDE/>
        <w:autoSpaceDN/>
        <w:bidi w:val="0"/>
        <w:adjustRightInd/>
        <w:snapToGrid/>
        <w:spacing w:line="380" w:lineRule="exact"/>
        <w:ind w:firstLine="600"/>
        <w:textAlignment w:val="auto"/>
        <w:rPr>
          <w:rFonts w:hint="eastAsia"/>
        </w:rPr>
      </w:pPr>
      <w:bookmarkStart w:id="439" w:name="_Hlk57225773"/>
    </w:p>
    <w:p>
      <w:pPr>
        <w:pageBreakBefore w:val="0"/>
        <w:widowControl w:val="0"/>
        <w:kinsoku/>
        <w:wordWrap/>
        <w:overflowPunct/>
        <w:topLinePunct w:val="0"/>
        <w:autoSpaceDE/>
        <w:autoSpaceDN/>
        <w:bidi w:val="0"/>
        <w:snapToGrid/>
        <w:spacing w:line="580" w:lineRule="exact"/>
        <w:ind w:firstLine="600"/>
        <w:textAlignment w:val="auto"/>
        <w:rPr>
          <w:spacing w:val="-11"/>
        </w:rPr>
      </w:pPr>
      <w:r>
        <w:rPr>
          <w:rFonts w:hint="eastAsia"/>
          <w:spacing w:val="-11"/>
        </w:rPr>
        <w:t>按照“对内大循环、对外大通畅”的思路，构建以三都澳港口为中心，以铁路、公路为支撑的大枢纽、大通道、大物流交通格局，加快建设“一核两环六放射”的综合交通运输网络</w:t>
      </w:r>
      <w:bookmarkEnd w:id="439"/>
      <w:r>
        <w:rPr>
          <w:rFonts w:hint="eastAsia"/>
          <w:spacing w:val="-11"/>
        </w:rPr>
        <w:t>，基本建成“1125”出行交通圈。</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5116195" cy="3252470"/>
            <wp:effectExtent l="0" t="0" r="8255"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116195" cy="3252470"/>
                    </a:xfrm>
                    <a:prstGeom prst="rect">
                      <a:avLst/>
                    </a:prstGeom>
                    <a:noFill/>
                    <a:ln>
                      <a:noFill/>
                    </a:ln>
                  </pic:spPr>
                </pic:pic>
              </a:graphicData>
            </a:graphic>
          </wp:inline>
        </w:drawing>
      </w:r>
    </w:p>
    <w:p>
      <w:pPr>
        <w:pageBreakBefore w:val="0"/>
        <w:kinsoku/>
        <w:wordWrap/>
        <w:overflowPunct/>
        <w:topLinePunct w:val="0"/>
        <w:autoSpaceDE/>
        <w:autoSpaceDN/>
        <w:bidi w:val="0"/>
        <w:spacing w:line="600" w:lineRule="exact"/>
        <w:ind w:firstLine="0" w:firstLineChars="0"/>
        <w:jc w:val="center"/>
        <w:textAlignment w:val="auto"/>
      </w:pPr>
      <w:r>
        <w:rPr>
          <w:rFonts w:hint="eastAsia"/>
          <w:b/>
          <w:bCs/>
        </w:rPr>
        <w:t>图6</w:t>
      </w:r>
      <w:r>
        <w:rPr>
          <w:b/>
          <w:bCs/>
        </w:rPr>
        <w:t>-1</w:t>
      </w:r>
      <w:r>
        <w:rPr>
          <w:rFonts w:hint="eastAsia"/>
          <w:b/>
          <w:bCs/>
        </w:rPr>
        <w:t>综合交通运输网络图</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cs="楷体"/>
                <w:szCs w:val="30"/>
              </w:rPr>
            </w:pPr>
            <w:r>
              <w:rPr>
                <w:rFonts w:hint="eastAsia" w:ascii="仿宋_GB2312" w:hAnsi="楷体" w:cs="楷体"/>
                <w:b/>
                <w:bCs/>
                <w:szCs w:val="30"/>
              </w:rPr>
              <w:t>专栏6</w:t>
            </w:r>
            <w:r>
              <w:rPr>
                <w:rFonts w:ascii="仿宋_GB2312" w:hAnsi="楷体" w:cs="楷体"/>
                <w:b/>
                <w:bCs/>
                <w:szCs w:val="30"/>
              </w:rPr>
              <w:t>-1</w:t>
            </w:r>
            <w:r>
              <w:rPr>
                <w:rFonts w:hint="eastAsia" w:ascii="仿宋_GB2312" w:hAnsi="楷体" w:cs="楷体"/>
                <w:b/>
                <w:bCs/>
                <w:szCs w:val="30"/>
              </w:rPr>
              <w:t>：综合交通运输格局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“一核”：</w:t>
            </w:r>
            <w:r>
              <w:rPr>
                <w:rFonts w:hint="eastAsia" w:ascii="仿宋_GB2312" w:hAnsi="仿宋_GB2312" w:cs="仿宋_GB2312"/>
                <w:sz w:val="24"/>
                <w:szCs w:val="24"/>
              </w:rPr>
              <w:t>强化三都澳交通枢纽核心作用，完善海港、枢纽场站及集疏运体系建设。</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“两环”</w:t>
            </w:r>
            <w:r>
              <w:rPr>
                <w:rFonts w:hint="eastAsia" w:ascii="仿宋_GB2312" w:hAnsi="仿宋_GB2312" w:cs="仿宋_GB2312"/>
                <w:sz w:val="24"/>
                <w:szCs w:val="24"/>
              </w:rPr>
              <w:t>：三都澳核心区内环和市域山海联动外环。</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仿宋_GB2312" w:cs="仿宋_GB2312"/>
                <w:sz w:val="24"/>
                <w:szCs w:val="24"/>
              </w:rPr>
            </w:pPr>
            <w:r>
              <w:rPr>
                <w:rFonts w:hint="eastAsia" w:ascii="仿宋_GB2312" w:hAnsi="仿宋_GB2312" w:cs="仿宋_GB2312"/>
                <w:b/>
                <w:bCs/>
                <w:sz w:val="24"/>
                <w:szCs w:val="24"/>
              </w:rPr>
              <w:t>“六放射”</w:t>
            </w:r>
            <w:r>
              <w:rPr>
                <w:rFonts w:hint="eastAsia" w:ascii="仿宋_GB2312" w:hAnsi="仿宋_GB2312" w:cs="仿宋_GB2312"/>
                <w:sz w:val="24"/>
                <w:szCs w:val="24"/>
              </w:rPr>
              <w:t>：以三都澳区域为核心，便捷联系山区县城和内陆地区的六条综合运输大通道，即三都澳</w:t>
            </w:r>
            <w:r>
              <w:rPr>
                <w:rFonts w:ascii="仿宋_GB2312" w:cs="仿宋_GB2312"/>
                <w:sz w:val="24"/>
                <w:szCs w:val="24"/>
              </w:rPr>
              <w:t>-</w:t>
            </w:r>
            <w:r>
              <w:rPr>
                <w:rFonts w:hint="eastAsia" w:ascii="仿宋_GB2312" w:hAnsi="仿宋_GB2312" w:cs="仿宋_GB2312"/>
                <w:sz w:val="24"/>
                <w:szCs w:val="24"/>
              </w:rPr>
              <w:t>福鼎</w:t>
            </w:r>
            <w:r>
              <w:rPr>
                <w:rFonts w:ascii="仿宋_GB2312" w:cs="仿宋_GB2312"/>
                <w:sz w:val="24"/>
                <w:szCs w:val="24"/>
              </w:rPr>
              <w:t>-</w:t>
            </w:r>
            <w:r>
              <w:rPr>
                <w:rFonts w:hint="eastAsia" w:ascii="仿宋_GB2312" w:hAnsi="仿宋_GB2312" w:cs="仿宋_GB2312"/>
                <w:sz w:val="24"/>
                <w:szCs w:val="24"/>
              </w:rPr>
              <w:t>长三角通道、三都澳</w:t>
            </w:r>
            <w:r>
              <w:rPr>
                <w:rFonts w:ascii="仿宋_GB2312" w:cs="仿宋_GB2312"/>
                <w:sz w:val="24"/>
                <w:szCs w:val="24"/>
              </w:rPr>
              <w:t>-</w:t>
            </w:r>
            <w:r>
              <w:rPr>
                <w:rFonts w:hint="eastAsia" w:ascii="仿宋_GB2312" w:hAnsi="仿宋_GB2312" w:cs="仿宋_GB2312"/>
                <w:sz w:val="24"/>
                <w:szCs w:val="24"/>
              </w:rPr>
              <w:t>蕉城</w:t>
            </w:r>
            <w:r>
              <w:rPr>
                <w:rFonts w:ascii="仿宋_GB2312" w:cs="仿宋_GB2312"/>
                <w:sz w:val="24"/>
                <w:szCs w:val="24"/>
              </w:rPr>
              <w:t>-</w:t>
            </w:r>
            <w:r>
              <w:rPr>
                <w:rFonts w:hint="eastAsia" w:ascii="仿宋_GB2312" w:hAnsi="仿宋_GB2312" w:cs="仿宋_GB2312"/>
                <w:sz w:val="24"/>
                <w:szCs w:val="24"/>
              </w:rPr>
              <w:t>珠三角通道、三都澳</w:t>
            </w:r>
            <w:r>
              <w:rPr>
                <w:rFonts w:ascii="仿宋_GB2312" w:cs="仿宋_GB2312"/>
                <w:sz w:val="24"/>
                <w:szCs w:val="24"/>
              </w:rPr>
              <w:t>-</w:t>
            </w:r>
            <w:r>
              <w:rPr>
                <w:rFonts w:hint="eastAsia" w:ascii="仿宋_GB2312" w:hAnsi="仿宋_GB2312" w:cs="仿宋_GB2312"/>
                <w:sz w:val="24"/>
                <w:szCs w:val="24"/>
              </w:rPr>
              <w:t>古田</w:t>
            </w:r>
            <w:r>
              <w:rPr>
                <w:rFonts w:ascii="仿宋_GB2312" w:cs="仿宋_GB2312"/>
                <w:sz w:val="24"/>
                <w:szCs w:val="24"/>
              </w:rPr>
              <w:t>-</w:t>
            </w:r>
            <w:r>
              <w:rPr>
                <w:rFonts w:hint="eastAsia" w:ascii="仿宋_GB2312" w:hAnsi="仿宋_GB2312" w:cs="仿宋_GB2312"/>
                <w:sz w:val="24"/>
                <w:szCs w:val="24"/>
              </w:rPr>
              <w:t>湘黔通道、三都澳</w:t>
            </w:r>
            <w:r>
              <w:rPr>
                <w:rFonts w:ascii="仿宋_GB2312" w:cs="仿宋_GB2312"/>
                <w:sz w:val="24"/>
                <w:szCs w:val="24"/>
              </w:rPr>
              <w:t>-</w:t>
            </w:r>
            <w:r>
              <w:rPr>
                <w:rFonts w:hint="eastAsia" w:ascii="仿宋_GB2312" w:hAnsi="仿宋_GB2312" w:cs="仿宋_GB2312"/>
                <w:sz w:val="24"/>
                <w:szCs w:val="24"/>
              </w:rPr>
              <w:t>屏南</w:t>
            </w:r>
            <w:r>
              <w:rPr>
                <w:rFonts w:ascii="仿宋_GB2312" w:hAnsi="仿宋_GB2312" w:cs="仿宋_GB2312"/>
                <w:sz w:val="24"/>
                <w:szCs w:val="24"/>
              </w:rPr>
              <w:t>/</w:t>
            </w:r>
            <w:r>
              <w:rPr>
                <w:rFonts w:hint="eastAsia" w:ascii="仿宋_GB2312" w:hAnsi="仿宋_GB2312" w:cs="仿宋_GB2312"/>
                <w:sz w:val="24"/>
                <w:szCs w:val="24"/>
              </w:rPr>
              <w:t>周宁</w:t>
            </w:r>
            <w:r>
              <w:rPr>
                <w:rFonts w:ascii="仿宋_GB2312" w:cs="仿宋_GB2312"/>
                <w:sz w:val="24"/>
                <w:szCs w:val="24"/>
              </w:rPr>
              <w:t>-</w:t>
            </w:r>
            <w:r>
              <w:rPr>
                <w:rFonts w:hint="eastAsia" w:ascii="仿宋_GB2312" w:hAnsi="仿宋_GB2312" w:cs="仿宋_GB2312"/>
                <w:sz w:val="24"/>
                <w:szCs w:val="24"/>
              </w:rPr>
              <w:t>赣鄂通道、三都澳</w:t>
            </w:r>
            <w:r>
              <w:rPr>
                <w:rFonts w:ascii="仿宋_GB2312" w:cs="仿宋_GB2312"/>
                <w:sz w:val="24"/>
                <w:szCs w:val="24"/>
              </w:rPr>
              <w:t>-</w:t>
            </w:r>
            <w:r>
              <w:rPr>
                <w:rFonts w:hint="eastAsia" w:ascii="仿宋_GB2312" w:hAnsi="仿宋_GB2312" w:cs="仿宋_GB2312"/>
                <w:sz w:val="24"/>
                <w:szCs w:val="24"/>
              </w:rPr>
              <w:t>寿宁</w:t>
            </w:r>
            <w:r>
              <w:rPr>
                <w:rFonts w:ascii="仿宋_GB2312" w:hAnsi="仿宋_GB2312" w:cs="仿宋_GB2312"/>
                <w:sz w:val="24"/>
                <w:szCs w:val="24"/>
              </w:rPr>
              <w:t>/</w:t>
            </w:r>
            <w:r>
              <w:rPr>
                <w:rFonts w:hint="eastAsia" w:ascii="仿宋_GB2312" w:hAnsi="仿宋_GB2312" w:cs="仿宋_GB2312"/>
                <w:sz w:val="24"/>
                <w:szCs w:val="24"/>
              </w:rPr>
              <w:t>柘荣</w:t>
            </w:r>
            <w:r>
              <w:rPr>
                <w:rFonts w:ascii="仿宋_GB2312" w:cs="仿宋_GB2312"/>
                <w:sz w:val="24"/>
                <w:szCs w:val="24"/>
              </w:rPr>
              <w:t>-</w:t>
            </w:r>
            <w:r>
              <w:rPr>
                <w:rFonts w:hint="eastAsia" w:ascii="仿宋_GB2312" w:hAnsi="仿宋_GB2312" w:cs="仿宋_GB2312"/>
                <w:sz w:val="24"/>
                <w:szCs w:val="24"/>
              </w:rPr>
              <w:t>浙皖通道、三都澳</w:t>
            </w:r>
            <w:r>
              <w:rPr>
                <w:rFonts w:ascii="仿宋_GB2312" w:cs="仿宋_GB2312"/>
                <w:sz w:val="24"/>
                <w:szCs w:val="24"/>
              </w:rPr>
              <w:t>-</w:t>
            </w:r>
            <w:r>
              <w:rPr>
                <w:rFonts w:hint="eastAsia" w:ascii="仿宋_GB2312" w:hAnsi="仿宋_GB2312" w:cs="仿宋_GB2312"/>
                <w:sz w:val="24"/>
                <w:szCs w:val="24"/>
              </w:rPr>
              <w:t>海上丝绸之路通道。</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color w:val="FF0000"/>
              </w:rPr>
            </w:pPr>
            <w:r>
              <w:rPr>
                <w:rFonts w:hint="eastAsia" w:ascii="仿宋_GB2312" w:hAnsi="仿宋_GB2312" w:cs="仿宋_GB2312"/>
                <w:b/>
                <w:sz w:val="24"/>
                <w:szCs w:val="24"/>
              </w:rPr>
              <w:t>“</w:t>
            </w:r>
            <w:r>
              <w:rPr>
                <w:rFonts w:ascii="仿宋_GB2312" w:hAnsi="仿宋_GB2312" w:cs="仿宋_GB2312"/>
                <w:b/>
                <w:sz w:val="24"/>
                <w:szCs w:val="24"/>
              </w:rPr>
              <w:t>1125”</w:t>
            </w:r>
            <w:r>
              <w:rPr>
                <w:rFonts w:hint="eastAsia" w:ascii="仿宋_GB2312" w:hAnsi="仿宋_GB2312" w:cs="仿宋_GB2312"/>
                <w:b/>
                <w:sz w:val="24"/>
                <w:szCs w:val="24"/>
              </w:rPr>
              <w:t>出行交通圈：</w:t>
            </w:r>
            <w:r>
              <w:rPr>
                <w:rFonts w:hint="eastAsia" w:ascii="仿宋_GB2312" w:hAnsi="仿宋_GB2312" w:cs="仿宋_GB2312"/>
                <w:sz w:val="24"/>
                <w:szCs w:val="24"/>
              </w:rPr>
              <w:t>基本实现所辖县</w:t>
            </w:r>
            <w:r>
              <w:rPr>
                <w:rFonts w:ascii="仿宋_GB2312" w:hAnsi="仿宋_GB2312" w:cs="仿宋_GB2312"/>
                <w:sz w:val="24"/>
                <w:szCs w:val="24"/>
              </w:rPr>
              <w:t>1</w:t>
            </w:r>
            <w:r>
              <w:rPr>
                <w:rFonts w:hint="eastAsia" w:ascii="仿宋_GB2312" w:hAnsi="仿宋_GB2312" w:cs="仿宋_GB2312"/>
                <w:sz w:val="24"/>
                <w:szCs w:val="24"/>
              </w:rPr>
              <w:t>小时到达宁德中心城区，乡镇</w:t>
            </w:r>
            <w:r>
              <w:rPr>
                <w:rFonts w:ascii="仿宋_GB2312" w:hAnsi="仿宋_GB2312" w:cs="仿宋_GB2312"/>
                <w:sz w:val="24"/>
                <w:szCs w:val="24"/>
              </w:rPr>
              <w:t>1</w:t>
            </w:r>
            <w:r>
              <w:rPr>
                <w:rFonts w:hint="eastAsia" w:ascii="仿宋_GB2312" w:hAnsi="仿宋_GB2312" w:cs="仿宋_GB2312"/>
                <w:sz w:val="24"/>
                <w:szCs w:val="24"/>
              </w:rPr>
              <w:t>小时到达所在县城（市区）；环三都澳区域</w:t>
            </w:r>
            <w:r>
              <w:rPr>
                <w:rFonts w:ascii="仿宋_GB2312" w:hAnsi="仿宋_GB2312" w:cs="仿宋_GB2312"/>
                <w:sz w:val="24"/>
                <w:szCs w:val="24"/>
              </w:rPr>
              <w:t>1</w:t>
            </w:r>
            <w:r>
              <w:rPr>
                <w:rFonts w:hint="eastAsia" w:ascii="仿宋_GB2312" w:hAnsi="仿宋_GB2312" w:cs="仿宋_GB2312"/>
                <w:sz w:val="24"/>
                <w:szCs w:val="24"/>
              </w:rPr>
              <w:t>小时到达福州都市区、长乐国际机场；环三都澳区域</w:t>
            </w:r>
            <w:r>
              <w:rPr>
                <w:rFonts w:ascii="仿宋_GB2312" w:hAnsi="仿宋_GB2312" w:cs="仿宋_GB2312"/>
                <w:sz w:val="24"/>
                <w:szCs w:val="24"/>
              </w:rPr>
              <w:t>2</w:t>
            </w:r>
            <w:r>
              <w:rPr>
                <w:rFonts w:hint="eastAsia" w:ascii="仿宋_GB2312" w:hAnsi="仿宋_GB2312" w:cs="仿宋_GB2312"/>
                <w:sz w:val="24"/>
                <w:szCs w:val="24"/>
              </w:rPr>
              <w:t>小时到达闽东北协同区、泉厦漳都市区、浙江省南部；环三都澳区域</w:t>
            </w:r>
            <w:r>
              <w:rPr>
                <w:rFonts w:ascii="仿宋_GB2312" w:hAnsi="仿宋_GB2312" w:cs="仿宋_GB2312"/>
                <w:sz w:val="24"/>
                <w:szCs w:val="24"/>
              </w:rPr>
              <w:t>5</w:t>
            </w:r>
            <w:r>
              <w:rPr>
                <w:rFonts w:hint="eastAsia" w:ascii="仿宋_GB2312" w:hAnsi="仿宋_GB2312" w:cs="仿宋_GB2312"/>
                <w:sz w:val="24"/>
                <w:szCs w:val="24"/>
              </w:rPr>
              <w:t>小时到达长三角、粤港澳、长江中游城市群</w:t>
            </w:r>
            <w:r>
              <w:rPr>
                <w:rFonts w:hint="eastAsia"/>
                <w:sz w:val="24"/>
                <w:szCs w:val="24"/>
              </w:rPr>
              <w:t>。</w:t>
            </w:r>
          </w:p>
        </w:tc>
      </w:tr>
    </w:tbl>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一、</w:t>
      </w:r>
      <w:bookmarkStart w:id="440" w:name="_Hlk57225890"/>
      <w:r>
        <w:rPr>
          <w:rFonts w:hint="eastAsia"/>
          <w:b/>
          <w:bCs/>
          <w:szCs w:val="32"/>
        </w:rPr>
        <w:t>建设环三都澳枢纽大港</w:t>
      </w:r>
      <w:bookmarkEnd w:id="440"/>
    </w:p>
    <w:p>
      <w:pPr>
        <w:pageBreakBefore w:val="0"/>
        <w:kinsoku/>
        <w:wordWrap/>
        <w:overflowPunct/>
        <w:topLinePunct w:val="0"/>
        <w:autoSpaceDE/>
        <w:autoSpaceDN/>
        <w:bidi w:val="0"/>
        <w:spacing w:line="600" w:lineRule="exact"/>
        <w:ind w:firstLine="602"/>
        <w:textAlignment w:val="auto"/>
        <w:rPr>
          <w:rFonts w:hint="eastAsia" w:ascii="仿宋_GB2312"/>
        </w:rPr>
      </w:pPr>
      <w:r>
        <w:rPr>
          <w:rFonts w:hint="eastAsia"/>
          <w:b/>
          <w:bCs/>
          <w:szCs w:val="32"/>
        </w:rPr>
        <w:t>推进</w:t>
      </w:r>
      <w:bookmarkStart w:id="441" w:name="_Hlk57225818"/>
      <w:r>
        <w:rPr>
          <w:rFonts w:hint="eastAsia"/>
          <w:b/>
          <w:bCs/>
          <w:szCs w:val="32"/>
        </w:rPr>
        <w:t>港口综合开发</w:t>
      </w:r>
      <w:bookmarkEnd w:id="441"/>
      <w:r>
        <w:rPr>
          <w:rFonts w:hint="eastAsia"/>
          <w:b/>
          <w:bCs/>
          <w:szCs w:val="32"/>
        </w:rPr>
        <w:t>。</w:t>
      </w:r>
      <w:r>
        <w:rPr>
          <w:rFonts w:hint="eastAsia" w:ascii="仿宋_GB2312"/>
        </w:rPr>
        <w:t>推动“一港四区”错位发展，加强港口基础设施建设，着力提高港口资源集约化利用水平。加快推进漳湾等作业区码头泊位连片开发建设，更新完善港口作业设施，重点核心区域加载配套建设滚装设施，提升作业效率，推进集装箱陆域堆场建设，港口通过能力达到6600万吨，货物吞吐量力争突破1亿吨。鼓励到江西、湖南、浙南等地区开发建设“无水港”，建立揽货体系，提升港口揽货能力。整合优化现有岸线码头资源，提高港口资源利用效率，推进港口向集约型可持续方向发展。</w:t>
      </w:r>
    </w:p>
    <w:p>
      <w:pPr>
        <w:pageBreakBefore w:val="0"/>
        <w:kinsoku/>
        <w:wordWrap/>
        <w:overflowPunct/>
        <w:topLinePunct w:val="0"/>
        <w:autoSpaceDE/>
        <w:autoSpaceDN/>
        <w:bidi w:val="0"/>
        <w:spacing w:line="600" w:lineRule="exact"/>
        <w:ind w:firstLine="602"/>
        <w:textAlignment w:val="auto"/>
      </w:pPr>
      <w:bookmarkStart w:id="442" w:name="_Hlk57225857"/>
      <w:r>
        <w:rPr>
          <w:rFonts w:hint="eastAsia"/>
          <w:b/>
          <w:bCs/>
          <w:szCs w:val="32"/>
        </w:rPr>
        <w:t>完善港口集疏运网络</w:t>
      </w:r>
      <w:bookmarkEnd w:id="442"/>
      <w:r>
        <w:rPr>
          <w:rFonts w:hint="eastAsia"/>
          <w:b/>
          <w:bCs/>
          <w:szCs w:val="32"/>
        </w:rPr>
        <w:t>。</w:t>
      </w:r>
      <w:r>
        <w:rPr>
          <w:rFonts w:hint="eastAsia"/>
        </w:rPr>
        <w:t>推进公路、铁路、机场与港口的接驳，支撑港口向内陆腹地延伸。加快推进湾坞等作业区疏港公路建设，完善海港内部作业区之间集散网络，形成完善的港口高等级公路集疏系统，重点路段区域增加隐蔽、全程无障碍快速通行等专业功能。加快漳湾、溪南等港口铁路专用线规划建设，谋划古田黄田等多式联运转运物流园，畅通衔接港区与干线铁路通道，推进海铁联运发展。</w:t>
      </w:r>
    </w:p>
    <w:p>
      <w:pPr>
        <w:pageBreakBefore w:val="0"/>
        <w:kinsoku/>
        <w:wordWrap/>
        <w:overflowPunct/>
        <w:topLinePunct w:val="0"/>
        <w:autoSpaceDE/>
        <w:autoSpaceDN/>
        <w:bidi w:val="0"/>
        <w:spacing w:line="600" w:lineRule="exact"/>
        <w:ind w:firstLine="602"/>
        <w:textAlignment w:val="auto"/>
        <w:rPr>
          <w:rFonts w:hint="eastAsia" w:ascii="仿宋_GB2312"/>
        </w:rPr>
      </w:pPr>
      <w:bookmarkStart w:id="443" w:name="_Hlk57225865"/>
      <w:r>
        <w:rPr>
          <w:rFonts w:hint="eastAsia"/>
          <w:b/>
          <w:bCs/>
          <w:szCs w:val="32"/>
        </w:rPr>
        <w:t>提升港口管理现代化水平</w:t>
      </w:r>
      <w:bookmarkEnd w:id="443"/>
      <w:r>
        <w:rPr>
          <w:rFonts w:hint="eastAsia"/>
          <w:b/>
          <w:bCs/>
          <w:szCs w:val="32"/>
        </w:rPr>
        <w:t>。</w:t>
      </w:r>
      <w:r>
        <w:rPr>
          <w:rFonts w:hint="eastAsia" w:ascii="仿宋_GB2312"/>
        </w:rPr>
        <w:t>实施口岸大通关建设，推进海关等部门联合作业，优化口岸通关服务，提高通关效率。积极争取国家海铁联运体制创新综合改革试点。积极拓展港口相关服务业，延伸港口服务价值链。推进新一代信息技术与港口服务的深度融合，构建智能管控平台、供应链协同平台和港航信息互联互通平台，探索5G+MEC技术推动智慧港口建设。</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cs="楷体"/>
                <w:szCs w:val="30"/>
              </w:rPr>
            </w:pPr>
            <w:r>
              <w:rPr>
                <w:rFonts w:hint="eastAsia" w:ascii="仿宋_GB2312" w:hAnsi="楷体" w:cs="楷体"/>
                <w:b/>
                <w:bCs/>
                <w:szCs w:val="30"/>
              </w:rPr>
              <w:t>专栏6</w:t>
            </w:r>
            <w:r>
              <w:rPr>
                <w:rFonts w:ascii="仿宋_GB2312" w:hAnsi="楷体" w:cs="楷体"/>
                <w:b/>
                <w:bCs/>
                <w:szCs w:val="30"/>
              </w:rPr>
              <w:t>-2</w:t>
            </w:r>
            <w:r>
              <w:rPr>
                <w:rFonts w:hint="eastAsia" w:ascii="仿宋_GB2312" w:hAnsi="楷体" w:cs="楷体"/>
                <w:b/>
                <w:bCs/>
                <w:szCs w:val="30"/>
              </w:rPr>
              <w:t>：三都澳现代枢纽港建设工程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港口基础设施工程：</w:t>
            </w:r>
            <w:r>
              <w:rPr>
                <w:rFonts w:hint="eastAsia" w:ascii="仿宋_GB2312" w:hAnsi="仿宋_GB2312" w:cs="仿宋_GB2312"/>
                <w:sz w:val="24"/>
                <w:szCs w:val="24"/>
              </w:rPr>
              <w:t>漳湾作业区18-21号泊位，城澳作业区1、8-9、14-15号及西1号泊位，溪南作业区1-2号泊位，湾坞作业区1、8、15号泊位，三都澳深水航道二期等工程。</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公路集疏运工程：</w:t>
            </w:r>
            <w:r>
              <w:rPr>
                <w:rFonts w:hint="eastAsia" w:ascii="仿宋_GB2312" w:hAnsi="仿宋_GB2312" w:cs="仿宋_GB2312"/>
                <w:sz w:val="24"/>
                <w:szCs w:val="24"/>
              </w:rPr>
              <w:t>下白石至坪岗作业区疏港公路、三沙镇三沙港区至G228（古镇村）、杨岐作业区至G228等工程。</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铁路集疏运工程：</w:t>
            </w:r>
            <w:r>
              <w:rPr>
                <w:rFonts w:hint="eastAsia" w:ascii="仿宋_GB2312" w:hAnsi="仿宋_GB2312" w:cs="仿宋_GB2312"/>
                <w:sz w:val="24"/>
                <w:szCs w:val="24"/>
              </w:rPr>
              <w:t>漳湾、白马、溪南、城澳、沙埕等疏港铁路专用线建设工程。</w:t>
            </w:r>
          </w:p>
        </w:tc>
      </w:tr>
    </w:tbl>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二、加快完善陆路交通通道</w:t>
      </w:r>
    </w:p>
    <w:p>
      <w:pPr>
        <w:pageBreakBefore w:val="0"/>
        <w:kinsoku/>
        <w:wordWrap/>
        <w:overflowPunct/>
        <w:topLinePunct w:val="0"/>
        <w:autoSpaceDE/>
        <w:autoSpaceDN/>
        <w:bidi w:val="0"/>
        <w:spacing w:line="600" w:lineRule="exact"/>
        <w:ind w:firstLine="602"/>
        <w:textAlignment w:val="auto"/>
      </w:pPr>
      <w:r>
        <w:rPr>
          <w:rFonts w:hint="eastAsia"/>
          <w:b/>
          <w:bCs/>
          <w:szCs w:val="32"/>
        </w:rPr>
        <w:t>建设铁路大通道。</w:t>
      </w:r>
      <w:bookmarkStart w:id="444" w:name="_Hlk57225932"/>
      <w:r>
        <w:rPr>
          <w:rFonts w:hint="eastAsia"/>
        </w:rPr>
        <w:t>围绕构建“一枢纽三纵三横九支线”区域铁路网，加快形成通往福州、温州、衢州、南平、丽水五个方向对外通道。</w:t>
      </w:r>
      <w:bookmarkEnd w:id="444"/>
      <w:r>
        <w:rPr>
          <w:rFonts w:hint="eastAsia"/>
        </w:rPr>
        <w:t>重点推进温福高铁建设，进一步形成联系长三角、珠三角的高标准客运通道。加快推进宁德至福州长乐机场城际铁路建设，打通至机场的便捷通道。积极推进宁南、南丽铁路前期工作，完善与周边及内陆地区的铁路通道。</w:t>
      </w:r>
    </w:p>
    <w:p>
      <w:pPr>
        <w:pageBreakBefore w:val="0"/>
        <w:kinsoku/>
        <w:wordWrap/>
        <w:overflowPunct/>
        <w:topLinePunct w:val="0"/>
        <w:autoSpaceDE/>
        <w:autoSpaceDN/>
        <w:bidi w:val="0"/>
        <w:spacing w:line="600" w:lineRule="exact"/>
        <w:ind w:firstLine="602"/>
        <w:textAlignment w:val="auto"/>
        <w:rPr>
          <w:rFonts w:hint="eastAsia" w:ascii="仿宋_GB2312"/>
        </w:rPr>
      </w:pPr>
      <w:r>
        <w:rPr>
          <w:rFonts w:hint="eastAsia"/>
          <w:b/>
          <w:bCs/>
        </w:rPr>
        <w:t>优化区域公路网。</w:t>
      </w:r>
      <w:bookmarkStart w:id="445" w:name="_Hlk57225948"/>
      <w:r>
        <w:rPr>
          <w:rFonts w:hint="eastAsia"/>
          <w:sz w:val="32"/>
          <w:szCs w:val="32"/>
        </w:rPr>
        <w:t>加快构筑</w:t>
      </w:r>
      <w:r>
        <w:rPr>
          <w:rFonts w:hint="eastAsia"/>
          <w:sz w:val="32"/>
          <w:szCs w:val="32"/>
          <w:lang w:eastAsia="zh-CN"/>
        </w:rPr>
        <w:t>“</w:t>
      </w:r>
      <w:r>
        <w:rPr>
          <w:rFonts w:hint="eastAsia"/>
          <w:sz w:val="32"/>
          <w:szCs w:val="32"/>
        </w:rPr>
        <w:t>五纵三横多联</w:t>
      </w:r>
      <w:r>
        <w:rPr>
          <w:rFonts w:hint="eastAsia"/>
          <w:sz w:val="32"/>
          <w:szCs w:val="32"/>
          <w:lang w:eastAsia="zh-CN"/>
        </w:rPr>
        <w:t>”</w:t>
      </w:r>
      <w:r>
        <w:rPr>
          <w:rFonts w:hint="eastAsia"/>
          <w:sz w:val="32"/>
          <w:szCs w:val="32"/>
        </w:rPr>
        <w:t>的高速公路网和</w:t>
      </w:r>
      <w:r>
        <w:rPr>
          <w:rFonts w:hint="eastAsia"/>
          <w:sz w:val="32"/>
          <w:szCs w:val="32"/>
          <w:lang w:eastAsia="zh-CN"/>
        </w:rPr>
        <w:t>“</w:t>
      </w:r>
      <w:r>
        <w:rPr>
          <w:rFonts w:hint="eastAsia"/>
          <w:sz w:val="32"/>
          <w:szCs w:val="32"/>
        </w:rPr>
        <w:t>六纵三横多联</w:t>
      </w:r>
      <w:r>
        <w:rPr>
          <w:rFonts w:hint="eastAsia"/>
          <w:sz w:val="32"/>
          <w:szCs w:val="32"/>
          <w:lang w:eastAsia="zh-CN"/>
        </w:rPr>
        <w:t>”</w:t>
      </w:r>
      <w:r>
        <w:rPr>
          <w:rFonts w:hint="eastAsia"/>
          <w:sz w:val="32"/>
          <w:szCs w:val="32"/>
        </w:rPr>
        <w:t>的普通国省干线网</w:t>
      </w:r>
      <w:r>
        <w:rPr>
          <w:rFonts w:hint="eastAsia" w:ascii="仿宋_GB2312"/>
        </w:rPr>
        <w:t>。建成宁古高速、宁上高速霞浦至福安段、甬莞高速沙埕互通及连接线工程，开工建设沈海高速公路宁德段扩容工程，积极开展庆寿泰苍高速公路宁德段等高速公路前期工作，力争高速公路通车总里程突破700公里；加快国省干线提级改造，重点推进G228线和市域内5条省道全线基本贯通，保障港口、场站、产业园衔接，力争国省干线二级及以上公路占比达到75%；着力推进重要节点便捷通高速，基本实现陆域乡镇、重要旅游景区、产业园区、交通枢纽节点30分钟内上高速</w:t>
      </w:r>
      <w:bookmarkEnd w:id="445"/>
      <w:r>
        <w:rPr>
          <w:rFonts w:hint="eastAsia" w:ascii="仿宋_GB2312"/>
        </w:rPr>
        <w:t>。</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楷体" w:cs="楷体"/>
                <w:szCs w:val="30"/>
              </w:rPr>
            </w:pPr>
            <w:r>
              <w:rPr>
                <w:rFonts w:hint="eastAsia" w:ascii="仿宋_GB2312" w:hAnsi="楷体" w:cs="楷体"/>
                <w:b/>
                <w:bCs/>
                <w:szCs w:val="30"/>
              </w:rPr>
              <w:t xml:space="preserve">专栏6-3：市域铁路、高速公路网络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仿宋_GB2312" w:cs="仿宋_GB2312"/>
                <w:sz w:val="24"/>
                <w:szCs w:val="24"/>
              </w:rPr>
            </w:pPr>
            <w:r>
              <w:rPr>
                <w:rFonts w:hint="eastAsia" w:ascii="仿宋_GB2312" w:cs="仿宋_GB2312"/>
                <w:b/>
                <w:sz w:val="24"/>
                <w:szCs w:val="24"/>
              </w:rPr>
              <w:t>“一枢纽三纵三横九支线”区域铁路网</w:t>
            </w:r>
            <w:r>
              <w:rPr>
                <w:rFonts w:hint="eastAsia" w:ascii="仿宋_GB2312" w:cs="仿宋_GB2312"/>
                <w:sz w:val="24"/>
                <w:szCs w:val="24"/>
              </w:rPr>
              <w:t>： “一枢纽”为宁德中心城市地区铁路枢纽和三都澳集群港区铁路枢纽；“三纵”为杭深铁路、温福高铁、南丽铁路；“三横”为合福高铁、衢宁铁路、宁南铁路；“九支线”为宁德汽车基地铁路专用线、白马港铁路支线及漳湾、溪南、城澳、沙埕、三沙、下白石、东冲等港口专用线。</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仿宋_GB2312" w:cs="仿宋_GB2312"/>
                <w:sz w:val="24"/>
                <w:szCs w:val="24"/>
              </w:rPr>
            </w:pPr>
            <w:r>
              <w:rPr>
                <w:rFonts w:hint="eastAsia" w:ascii="仿宋_GB2312" w:cs="仿宋_GB2312"/>
                <w:b/>
                <w:sz w:val="24"/>
                <w:szCs w:val="24"/>
              </w:rPr>
              <w:t>“五纵三横多联”高速公路网</w:t>
            </w:r>
            <w:r>
              <w:rPr>
                <w:rFonts w:hint="eastAsia" w:ascii="仿宋_GB2312" w:cs="仿宋_GB2312"/>
                <w:sz w:val="24"/>
                <w:szCs w:val="24"/>
              </w:rPr>
              <w:t>：“五纵</w:t>
            </w:r>
            <w:r>
              <w:rPr>
                <w:rFonts w:hint="eastAsia" w:ascii="仿宋_GB2312" w:cs="仿宋_GB2312"/>
                <w:sz w:val="24"/>
                <w:szCs w:val="24"/>
                <w:lang w:eastAsia="zh-CN"/>
              </w:rPr>
              <w:t>”</w:t>
            </w:r>
            <w:r>
              <w:rPr>
                <w:rFonts w:hint="eastAsia" w:ascii="仿宋_GB2312" w:cs="仿宋_GB2312"/>
                <w:sz w:val="24"/>
                <w:szCs w:val="24"/>
              </w:rPr>
              <w:t>为：沈海高速扩容线、沈海高速、甬莞高速、溧宁高速、政永高速；“三横</w:t>
            </w:r>
            <w:r>
              <w:rPr>
                <w:rFonts w:hint="eastAsia" w:ascii="仿宋_GB2312" w:cs="仿宋_GB2312"/>
                <w:sz w:val="24"/>
                <w:szCs w:val="24"/>
                <w:lang w:eastAsia="zh-CN"/>
              </w:rPr>
              <w:t>”</w:t>
            </w:r>
            <w:r>
              <w:rPr>
                <w:rFonts w:hint="eastAsia" w:ascii="仿宋_GB2312" w:cs="仿宋_GB2312"/>
                <w:sz w:val="24"/>
                <w:szCs w:val="24"/>
              </w:rPr>
              <w:t>为：宁上高速、宁古高速、京台高速。</w:t>
            </w:r>
          </w:p>
        </w:tc>
      </w:tr>
    </w:tbl>
    <w:p>
      <w:pPr>
        <w:pageBreakBefore w:val="0"/>
        <w:kinsoku/>
        <w:wordWrap/>
        <w:overflowPunct/>
        <w:topLinePunct w:val="0"/>
        <w:autoSpaceDE/>
        <w:autoSpaceDN/>
        <w:bidi w:val="0"/>
        <w:spacing w:line="600" w:lineRule="exact"/>
        <w:textAlignment w:val="auto"/>
        <w:rPr>
          <w:rFonts w:hint="eastAsia" w:ascii="仿宋_GB2312"/>
        </w:rPr>
      </w:pP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0" distR="0">
            <wp:extent cx="7743825" cy="4799965"/>
            <wp:effectExtent l="0" t="0" r="635"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rot="16200000">
                      <a:off x="0" y="0"/>
                      <a:ext cx="7794753" cy="4831648"/>
                    </a:xfrm>
                    <a:prstGeom prst="rect">
                      <a:avLst/>
                    </a:prstGeom>
                  </pic:spPr>
                </pic:pic>
              </a:graphicData>
            </a:graphic>
          </wp:inline>
        </w:drawing>
      </w:r>
    </w:p>
    <w:p>
      <w:pPr>
        <w:pageBreakBefore w:val="0"/>
        <w:kinsoku/>
        <w:wordWrap/>
        <w:overflowPunct/>
        <w:topLinePunct w:val="0"/>
        <w:autoSpaceDE/>
        <w:autoSpaceDN/>
        <w:bidi w:val="0"/>
        <w:spacing w:line="600" w:lineRule="exact"/>
        <w:ind w:firstLine="0" w:firstLineChars="0"/>
        <w:jc w:val="center"/>
        <w:textAlignment w:val="auto"/>
        <w:rPr>
          <w:rFonts w:hint="eastAsia"/>
          <w:b/>
          <w:bCs/>
        </w:rPr>
      </w:pPr>
      <w:r>
        <w:rPr>
          <w:rFonts w:hint="eastAsia"/>
          <w:b/>
          <w:bCs/>
        </w:rPr>
        <w:t>图</w:t>
      </w:r>
      <w:r>
        <w:rPr>
          <w:b/>
          <w:bCs/>
        </w:rPr>
        <w:t xml:space="preserve">6-2 </w:t>
      </w:r>
      <w:r>
        <w:rPr>
          <w:rFonts w:hint="eastAsia"/>
          <w:b/>
          <w:bCs/>
        </w:rPr>
        <w:t>市域陆路交通骨干网络规划图</w:t>
      </w:r>
    </w:p>
    <w:p>
      <w:pPr>
        <w:pStyle w:val="2"/>
        <w:ind w:firstLine="562"/>
      </w:pPr>
      <w:r>
        <w:rPr>
          <w:rFonts w:hint="eastAsia" w:ascii="仿宋_GB2312"/>
          <w:b/>
          <w:bCs/>
          <w:sz w:val="28"/>
          <w:szCs w:val="28"/>
        </w:rPr>
        <w:t>注：</w:t>
      </w:r>
      <w:r>
        <w:rPr>
          <w:rFonts w:hint="eastAsia" w:ascii="仿宋_GB2312"/>
          <w:sz w:val="28"/>
          <w:szCs w:val="28"/>
        </w:rPr>
        <w:t>图中规划铁路线路仅</w:t>
      </w:r>
      <w:r>
        <w:rPr>
          <w:rFonts w:hint="eastAsia" w:ascii="仿宋_GB2312"/>
          <w:sz w:val="28"/>
          <w:szCs w:val="28"/>
          <w:lang w:eastAsia="zh-CN"/>
        </w:rPr>
        <w:t>作为</w:t>
      </w:r>
      <w:r>
        <w:rPr>
          <w:rFonts w:hint="eastAsia" w:ascii="仿宋_GB2312"/>
          <w:sz w:val="28"/>
          <w:szCs w:val="28"/>
        </w:rPr>
        <w:t>示意</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三、积极推进民用航空建设</w:t>
      </w:r>
    </w:p>
    <w:p>
      <w:pPr>
        <w:pageBreakBefore w:val="0"/>
        <w:kinsoku/>
        <w:wordWrap/>
        <w:overflowPunct/>
        <w:topLinePunct w:val="0"/>
        <w:autoSpaceDE/>
        <w:autoSpaceDN/>
        <w:bidi w:val="0"/>
        <w:spacing w:line="600" w:lineRule="exact"/>
        <w:ind w:firstLine="600"/>
        <w:textAlignment w:val="auto"/>
        <w:rPr>
          <w:rFonts w:hint="eastAsia" w:ascii="仿宋_GB2312"/>
          <w:szCs w:val="30"/>
        </w:rPr>
      </w:pPr>
      <w:r>
        <w:rPr>
          <w:rFonts w:hint="eastAsia" w:ascii="仿宋_GB2312"/>
          <w:szCs w:val="30"/>
        </w:rPr>
        <w:t>持续深化宁德机场规划选址研究，力争实现民用机场零突破。以国家开放低空为契机，开工建设宁德通勤机场，有序推进古田、屏南、周宁、寿宁、福安、福鼎等通用机场（含水上机场）、飞行营地、水上飞机及直升机起降点和无人机试飞基地等基础设施建设，形成以通用机场为核心，以飞行营地、通用航空起降点、无人机试飞基地等为补充的通用航空基础设施网络体系，力争“十四五”期间建成或开工建设1-2个A类通用机场、4-5个飞行营地点。加快通用航空网络建设，构建贯穿省内、</w:t>
      </w:r>
      <w:bookmarkStart w:id="446" w:name="_Hlk46323729"/>
      <w:r>
        <w:rPr>
          <w:rFonts w:hint="eastAsia" w:ascii="仿宋_GB2312"/>
          <w:szCs w:val="30"/>
        </w:rPr>
        <w:t>覆盖全市各县（市）城区、重点乡镇、三甲医院、中小学校、高速公路服务区、4A以上景区、主要林区、海岛等</w:t>
      </w:r>
      <w:bookmarkEnd w:id="446"/>
      <w:r>
        <w:rPr>
          <w:rFonts w:hint="eastAsia" w:ascii="仿宋_GB2312"/>
          <w:szCs w:val="30"/>
        </w:rPr>
        <w:t>的</w:t>
      </w:r>
      <w:r>
        <w:rPr>
          <w:rFonts w:hint="eastAsia" w:ascii="仿宋_GB2312" w:hAnsi="宋体" w:cs="宋体"/>
          <w:bCs/>
          <w:kern w:val="0"/>
          <w:szCs w:val="30"/>
        </w:rPr>
        <w:t>抢险救灾、医疗救护、警务飞行、环境监测、</w:t>
      </w:r>
      <w:r>
        <w:rPr>
          <w:rFonts w:hint="eastAsia" w:ascii="仿宋_GB2312"/>
          <w:szCs w:val="30"/>
        </w:rPr>
        <w:t>低空旅游飞行通道。加强通航产业布局发展协调，积极对接航空航天科研院所、军工企业，</w:t>
      </w:r>
      <w:r>
        <w:rPr>
          <w:rFonts w:hint="eastAsia" w:ascii="仿宋_GB2312"/>
          <w:color w:val="000000"/>
          <w:szCs w:val="30"/>
        </w:rPr>
        <w:t>培育发展以通航研发、制造、维修和培训服务</w:t>
      </w:r>
      <w:r>
        <w:rPr>
          <w:rFonts w:hint="eastAsia" w:ascii="仿宋_GB2312"/>
          <w:szCs w:val="30"/>
        </w:rPr>
        <w:t>为重点的航空产业基地。</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四、加快综合交通枢纽建设</w:t>
      </w:r>
    </w:p>
    <w:p>
      <w:pPr>
        <w:pageBreakBefore w:val="0"/>
        <w:kinsoku/>
        <w:wordWrap/>
        <w:overflowPunct/>
        <w:topLinePunct w:val="0"/>
        <w:autoSpaceDE/>
        <w:autoSpaceDN/>
        <w:bidi w:val="0"/>
        <w:spacing w:line="600" w:lineRule="exact"/>
        <w:ind w:firstLine="600"/>
        <w:textAlignment w:val="auto"/>
        <w:rPr>
          <w:rFonts w:hint="eastAsia"/>
        </w:rPr>
      </w:pPr>
      <w:r>
        <w:rPr>
          <w:rFonts w:hint="eastAsia"/>
        </w:rPr>
        <w:t>大力推进客货运枢纽及场站建设，重点建设集铁路、公路、城市公交、出租车等多种运输方式于一体、具有示范效果的综合客运枢纽，提升客运服务功能。加快形成园区、中心、场站三级物流枢纽体系，重点依托三都澳港区和衢宁铁路，加快推进港产联动，改善物流发展环境。</w:t>
      </w:r>
    </w:p>
    <w:p>
      <w:pPr>
        <w:rPr>
          <w:rFonts w:hint="eastAsia"/>
        </w:rPr>
      </w:pPr>
      <w:r>
        <w:rPr>
          <w:rFonts w:hint="eastAsia"/>
        </w:rPr>
        <w:br w:type="page"/>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cs="楷体"/>
                <w:b/>
                <w:bCs/>
                <w:szCs w:val="30"/>
              </w:rPr>
            </w:pPr>
            <w:r>
              <w:rPr>
                <w:rFonts w:hint="eastAsia" w:ascii="仿宋_GB2312" w:hAnsi="楷体" w:cs="楷体"/>
                <w:b/>
                <w:bCs/>
                <w:szCs w:val="30"/>
              </w:rPr>
              <w:t>专栏6</w:t>
            </w:r>
            <w:r>
              <w:rPr>
                <w:rFonts w:ascii="仿宋_GB2312" w:hAnsi="楷体" w:cs="楷体"/>
                <w:b/>
                <w:bCs/>
                <w:szCs w:val="30"/>
              </w:rPr>
              <w:t>-</w:t>
            </w:r>
            <w:r>
              <w:rPr>
                <w:rFonts w:hint="eastAsia" w:ascii="仿宋_GB2312" w:hAnsi="楷体" w:cs="楷体"/>
                <w:b/>
                <w:bCs/>
                <w:szCs w:val="30"/>
              </w:rPr>
              <w:t>4：交通基础设施建设工程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铁路建设工程：</w:t>
            </w:r>
            <w:r>
              <w:rPr>
                <w:rFonts w:hint="eastAsia" w:ascii="仿宋_GB2312" w:hAnsi="仿宋_GB2312" w:cs="仿宋_GB2312"/>
                <w:sz w:val="24"/>
                <w:szCs w:val="24"/>
              </w:rPr>
              <w:t>推进温福高铁宁德段、宁德至福州长乐机场城际铁路、宁南铁路、南丽铁路等工程。</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高速公路工程：</w:t>
            </w:r>
            <w:r>
              <w:rPr>
                <w:rFonts w:hint="eastAsia" w:ascii="仿宋_GB2312" w:hAnsi="仿宋_GB2312" w:cs="仿宋_GB2312"/>
                <w:sz w:val="24"/>
                <w:szCs w:val="24"/>
              </w:rPr>
              <w:t>推进宁古高速、宁上高速霞浦至福安段、沈海高速公路宁德段扩容工程、甬莞高速沙埕互通及连接线工程、京台高速公路复线古田段等建设；加快宁德至福州高速公路、庆寿泰苍高速公路宁德段、霞浦至浙江景宁高速公路宁德段、宁上高速湾坞至福安城关段改建工程、政永高速公路宁德段、宁南丽金高速公路宁德段、宁德至浙江庆元高速公路宁德段等项目前期研究。</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国省干线工程：</w:t>
            </w:r>
            <w:r>
              <w:rPr>
                <w:rFonts w:hint="eastAsia" w:ascii="仿宋_GB2312" w:hAnsi="仿宋_GB2312" w:cs="仿宋_GB2312"/>
                <w:sz w:val="24"/>
                <w:szCs w:val="24"/>
              </w:rPr>
              <w:t>推进</w:t>
            </w:r>
            <w:r>
              <w:rPr>
                <w:rFonts w:ascii="仿宋_GB2312" w:hAnsi="仿宋_GB2312" w:cs="仿宋_GB2312"/>
                <w:sz w:val="24"/>
                <w:szCs w:val="24"/>
              </w:rPr>
              <w:t>G104</w:t>
            </w:r>
            <w:r>
              <w:rPr>
                <w:rFonts w:hint="eastAsia" w:ascii="仿宋_GB2312" w:hAnsi="仿宋_GB2312" w:cs="仿宋_GB2312"/>
                <w:sz w:val="24"/>
                <w:szCs w:val="24"/>
              </w:rPr>
              <w:t>、</w:t>
            </w:r>
            <w:r>
              <w:rPr>
                <w:rFonts w:ascii="仿宋_GB2312" w:hAnsi="仿宋_GB2312" w:cs="仿宋_GB2312"/>
                <w:sz w:val="24"/>
                <w:szCs w:val="24"/>
              </w:rPr>
              <w:t>G228</w:t>
            </w:r>
            <w:r>
              <w:rPr>
                <w:rFonts w:hint="eastAsia" w:ascii="仿宋_GB2312" w:hAnsi="仿宋_GB2312" w:cs="仿宋_GB2312"/>
                <w:sz w:val="24"/>
                <w:szCs w:val="24"/>
              </w:rPr>
              <w:t>、</w:t>
            </w:r>
            <w:r>
              <w:rPr>
                <w:rFonts w:ascii="仿宋_GB2312" w:hAnsi="仿宋_GB2312" w:cs="仿宋_GB2312"/>
                <w:sz w:val="24"/>
                <w:szCs w:val="24"/>
              </w:rPr>
              <w:t>G235</w:t>
            </w:r>
            <w:r>
              <w:rPr>
                <w:rFonts w:hint="eastAsia" w:ascii="仿宋_GB2312" w:hAnsi="仿宋_GB2312" w:cs="仿宋_GB2312"/>
                <w:sz w:val="24"/>
                <w:szCs w:val="24"/>
              </w:rPr>
              <w:t>、</w:t>
            </w:r>
            <w:r>
              <w:rPr>
                <w:rFonts w:ascii="仿宋_GB2312" w:hAnsi="仿宋_GB2312" w:cs="仿宋_GB2312"/>
                <w:sz w:val="24"/>
                <w:szCs w:val="24"/>
              </w:rPr>
              <w:t>G237</w:t>
            </w:r>
            <w:r>
              <w:rPr>
                <w:rFonts w:hint="eastAsia" w:ascii="仿宋_GB2312" w:hAnsi="仿宋_GB2312" w:cs="仿宋_GB2312"/>
                <w:sz w:val="24"/>
                <w:szCs w:val="24"/>
              </w:rPr>
              <w:t>、</w:t>
            </w:r>
            <w:r>
              <w:rPr>
                <w:rFonts w:ascii="仿宋_GB2312" w:hAnsi="仿宋_GB2312" w:cs="仿宋_GB2312"/>
                <w:sz w:val="24"/>
                <w:szCs w:val="24"/>
              </w:rPr>
              <w:t>G353</w:t>
            </w:r>
            <w:r>
              <w:rPr>
                <w:rFonts w:hint="eastAsia" w:ascii="仿宋_GB2312" w:hAnsi="仿宋_GB2312" w:cs="仿宋_GB2312"/>
                <w:sz w:val="24"/>
                <w:szCs w:val="24"/>
              </w:rPr>
              <w:t>、</w:t>
            </w:r>
            <w:r>
              <w:rPr>
                <w:rFonts w:ascii="仿宋_GB2312" w:hAnsi="仿宋_GB2312" w:cs="仿宋_GB2312"/>
                <w:sz w:val="24"/>
                <w:szCs w:val="24"/>
              </w:rPr>
              <w:t>S201</w:t>
            </w:r>
            <w:r>
              <w:rPr>
                <w:rFonts w:hint="eastAsia" w:ascii="仿宋_GB2312" w:hAnsi="仿宋_GB2312" w:cs="仿宋_GB2312"/>
                <w:sz w:val="24"/>
                <w:szCs w:val="24"/>
              </w:rPr>
              <w:t>、</w:t>
            </w:r>
            <w:r>
              <w:rPr>
                <w:rFonts w:ascii="仿宋_GB2312" w:hAnsi="仿宋_GB2312" w:cs="仿宋_GB2312"/>
                <w:sz w:val="24"/>
                <w:szCs w:val="24"/>
              </w:rPr>
              <w:t>S207</w:t>
            </w:r>
            <w:r>
              <w:rPr>
                <w:rFonts w:hint="eastAsia" w:ascii="仿宋_GB2312" w:hAnsi="仿宋_GB2312" w:cs="仿宋_GB2312"/>
                <w:sz w:val="24"/>
                <w:szCs w:val="24"/>
              </w:rPr>
              <w:t>、</w:t>
            </w:r>
            <w:r>
              <w:rPr>
                <w:rFonts w:ascii="仿宋_GB2312" w:hAnsi="仿宋_GB2312" w:cs="仿宋_GB2312"/>
                <w:sz w:val="24"/>
                <w:szCs w:val="24"/>
              </w:rPr>
              <w:t>S211</w:t>
            </w:r>
            <w:r>
              <w:rPr>
                <w:rFonts w:hint="eastAsia" w:ascii="仿宋_GB2312" w:hAnsi="仿宋_GB2312" w:cs="仿宋_GB2312"/>
                <w:sz w:val="24"/>
                <w:szCs w:val="24"/>
              </w:rPr>
              <w:t>、</w:t>
            </w:r>
            <w:r>
              <w:rPr>
                <w:rFonts w:ascii="仿宋_GB2312" w:hAnsi="仿宋_GB2312" w:cs="仿宋_GB2312"/>
                <w:sz w:val="24"/>
                <w:szCs w:val="24"/>
              </w:rPr>
              <w:t>S306</w:t>
            </w:r>
            <w:r>
              <w:rPr>
                <w:rFonts w:hint="eastAsia" w:ascii="仿宋_GB2312" w:hAnsi="仿宋_GB2312" w:cs="仿宋_GB2312"/>
                <w:sz w:val="24"/>
                <w:szCs w:val="24"/>
              </w:rPr>
              <w:t>等国省干道宁德境内段工程建设。</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cs="仿宋_GB2312"/>
                <w:b/>
                <w:bCs/>
                <w:sz w:val="24"/>
                <w:szCs w:val="24"/>
              </w:rPr>
              <w:t>民用航空工程：</w:t>
            </w:r>
            <w:r>
              <w:rPr>
                <w:rFonts w:hint="eastAsia" w:ascii="仿宋_GB2312" w:hAnsi="仿宋_GB2312" w:cs="仿宋_GB2312"/>
                <w:sz w:val="24"/>
                <w:szCs w:val="24"/>
              </w:rPr>
              <w:t>推进</w:t>
            </w:r>
            <w:r>
              <w:rPr>
                <w:rFonts w:hint="eastAsia" w:ascii="仿宋_GB2312" w:cs="仿宋_GB2312"/>
                <w:sz w:val="24"/>
                <w:szCs w:val="24"/>
              </w:rPr>
              <w:t>宁德机场、宁德通勤机场，屏南、寿宁、周宁、福安、柘荣、福鼎等县市通用机场、下党乡红色旅游直升飞机场等项目建设。</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cs="仿宋_GB2312"/>
                <w:b/>
                <w:bCs/>
                <w:sz w:val="24"/>
                <w:szCs w:val="24"/>
              </w:rPr>
              <w:t>综合交通枢纽工程：</w:t>
            </w:r>
            <w:r>
              <w:rPr>
                <w:rFonts w:hint="eastAsia" w:ascii="仿宋_GB2312" w:cs="仿宋_GB2312"/>
                <w:sz w:val="24"/>
                <w:szCs w:val="24"/>
              </w:rPr>
              <w:t>推进柘荣客运中心站、福鼎太姥山客运站、福安长途汽车站、福安白云山物流集散中心、古田南站、周宁客运中心站、寿宁东部新城综合客运枢纽站等项目建设。</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447" w:name="_Toc61117363"/>
      <w:bookmarkStart w:id="448" w:name="_Toc13818"/>
      <w:bookmarkStart w:id="449" w:name="_Toc4514"/>
      <w:bookmarkStart w:id="450" w:name="_Toc22284"/>
      <w:bookmarkStart w:id="451" w:name="_Toc30625"/>
      <w:bookmarkStart w:id="452" w:name="_Toc7943"/>
      <w:bookmarkStart w:id="453" w:name="_Toc15171"/>
      <w:bookmarkStart w:id="454" w:name="_Toc18913"/>
      <w:bookmarkStart w:id="455" w:name="_Toc15990"/>
      <w:bookmarkStart w:id="456" w:name="_Toc10468"/>
      <w:bookmarkStart w:id="457" w:name="_Toc26184"/>
      <w:bookmarkStart w:id="458" w:name="_Toc19533"/>
      <w:bookmarkStart w:id="459" w:name="_Toc26183"/>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第二节</w:t>
      </w:r>
      <w:r>
        <w:rPr>
          <w:rFonts w:ascii="楷体" w:hAnsi="楷体" w:eastAsia="楷体"/>
          <w:sz w:val="32"/>
          <w:szCs w:val="36"/>
        </w:rPr>
        <w:t xml:space="preserve"> </w:t>
      </w:r>
      <w:bookmarkEnd w:id="434"/>
      <w:bookmarkEnd w:id="435"/>
      <w:bookmarkEnd w:id="436"/>
      <w:bookmarkEnd w:id="437"/>
      <w:bookmarkEnd w:id="438"/>
      <w:r>
        <w:rPr>
          <w:rFonts w:hint="eastAsia" w:ascii="楷体" w:hAnsi="楷体" w:eastAsia="楷体"/>
          <w:sz w:val="32"/>
          <w:szCs w:val="36"/>
          <w:lang w:val="en-US" w:eastAsia="zh-CN"/>
        </w:rPr>
        <w:t xml:space="preserve"> </w:t>
      </w:r>
      <w:r>
        <w:rPr>
          <w:rFonts w:hint="eastAsia" w:ascii="楷体" w:hAnsi="楷体" w:eastAsia="楷体"/>
          <w:sz w:val="32"/>
          <w:szCs w:val="36"/>
        </w:rPr>
        <w:t>建设绿色清洁能源基地</w:t>
      </w:r>
      <w:bookmarkEnd w:id="447"/>
      <w:bookmarkEnd w:id="448"/>
      <w:bookmarkEnd w:id="449"/>
      <w:bookmarkEnd w:id="450"/>
      <w:bookmarkEnd w:id="451"/>
      <w:bookmarkEnd w:id="452"/>
      <w:bookmarkEnd w:id="453"/>
      <w:bookmarkEnd w:id="454"/>
      <w:bookmarkEnd w:id="455"/>
      <w:bookmarkEnd w:id="456"/>
      <w:bookmarkEnd w:id="457"/>
      <w:bookmarkEnd w:id="458"/>
      <w:bookmarkEnd w:id="459"/>
    </w:p>
    <w:p>
      <w:pPr>
        <w:pageBreakBefore w:val="0"/>
        <w:kinsoku/>
        <w:wordWrap/>
        <w:overflowPunct/>
        <w:topLinePunct w:val="0"/>
        <w:autoSpaceDE/>
        <w:autoSpaceDN/>
        <w:bidi w:val="0"/>
        <w:spacing w:line="600" w:lineRule="exact"/>
        <w:ind w:firstLine="600"/>
        <w:textAlignment w:val="auto"/>
        <w:rPr>
          <w:rFonts w:hint="eastAsia"/>
        </w:rPr>
      </w:pPr>
      <w:bookmarkStart w:id="460" w:name="_Hlk57227723"/>
    </w:p>
    <w:p>
      <w:pPr>
        <w:pageBreakBefore w:val="0"/>
        <w:kinsoku/>
        <w:wordWrap/>
        <w:overflowPunct/>
        <w:topLinePunct w:val="0"/>
        <w:autoSpaceDE/>
        <w:autoSpaceDN/>
        <w:bidi w:val="0"/>
        <w:spacing w:line="600" w:lineRule="exact"/>
        <w:ind w:firstLine="600"/>
        <w:textAlignment w:val="auto"/>
      </w:pPr>
      <w:r>
        <w:rPr>
          <w:rFonts w:hint="eastAsia"/>
        </w:rPr>
        <w:t>顺应能源发展新趋势，以提能效、控总量、转方式、调结构为目标，大力实施清洁能源发展战略，建设东南沿海重要的清洁能源基地。</w:t>
      </w:r>
      <w:bookmarkEnd w:id="460"/>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一、加快电网建设和电源改造</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加快电网基础设施建设，新建、扩建棠园变、崇儒变两座500千伏变电站，新建、扩建铁基湾、牙城、双岳、岙村、金钟等220千伏变电站，形成以500千伏宁德变、崇儒变、棠园变为中心的沿海多环、辐射西部的主干电网结构。推动传统能源提效升级，实施煤电节能减排升级改造和资源整合，推进大唐宁德电厂煤电大机组综合升级。</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二、积极推进新能源开发利用</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积极推进新能源开发利用，提高非化石能源消费比重。高效安全发展核电，建设宁德核电5-6号机组、霞浦核电示范快堆、华能霞浦核电等项目。积极推进国网时代福建吉瓦级宁德霞浦储能工程、宁德海上风力发电平价试验和示范工程、生物质供热发电一体化等项目建设。合理开发水电资源，因地制宜实施老旧水电站改造提升。</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三、加强天然气供应体系建设</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加快区域干线、县域支线天然气配套管道建设，扩大天然气管网覆盖范围，实现管道天然气“县县通、园区通”目标。加快建设城市天然气门站，有序推进城市燃气管网建设，提高供气稳定性和可靠性。建设应急储备气源站，有效提高安全、稳定的供气能力。</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楷体" w:cs="楷体"/>
                <w:szCs w:val="30"/>
              </w:rPr>
            </w:pPr>
            <w:r>
              <w:rPr>
                <w:rFonts w:hint="eastAsia" w:ascii="仿宋_GB2312" w:hAnsi="楷体" w:cs="楷体"/>
                <w:b/>
                <w:bCs/>
                <w:szCs w:val="30"/>
              </w:rPr>
              <w:t>专栏6-5：能源基础设施建设工程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仿宋_GB2312" w:cs="仿宋_GB2312"/>
                <w:sz w:val="24"/>
                <w:szCs w:val="24"/>
              </w:rPr>
            </w:pPr>
            <w:r>
              <w:rPr>
                <w:rFonts w:hint="eastAsia" w:ascii="仿宋_GB2312" w:hAnsi="仿宋_GB2312" w:cs="仿宋_GB2312"/>
                <w:b/>
                <w:bCs/>
                <w:sz w:val="24"/>
                <w:szCs w:val="24"/>
              </w:rPr>
              <w:t>电网建设工程：</w:t>
            </w:r>
            <w:r>
              <w:rPr>
                <w:rFonts w:hint="eastAsia" w:ascii="仿宋_GB2312" w:hAnsi="仿宋_GB2312" w:cs="仿宋_GB2312"/>
                <w:sz w:val="24"/>
                <w:szCs w:val="24"/>
              </w:rPr>
              <w:t>新建、扩建棠园变、崇儒变两座500千伏变电站，新建、扩建铁基湾、牙城、双岳、岙村、金钟等220千伏变电站，新建、扩建桂林、霍童、乍洋、太洋等110千伏及以上输变电工程。</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仿宋_GB2312" w:cs="仿宋_GB2312"/>
                <w:sz w:val="24"/>
                <w:szCs w:val="24"/>
              </w:rPr>
            </w:pPr>
            <w:r>
              <w:rPr>
                <w:rFonts w:hint="eastAsia" w:ascii="仿宋_GB2312" w:hAnsi="仿宋_GB2312" w:cs="仿宋_GB2312"/>
                <w:b/>
                <w:bCs/>
                <w:sz w:val="24"/>
                <w:szCs w:val="24"/>
              </w:rPr>
              <w:t>电源建设工程：</w:t>
            </w:r>
            <w:r>
              <w:rPr>
                <w:rFonts w:hint="eastAsia" w:ascii="仿宋_GB2312" w:hAnsi="仿宋_GB2312" w:cs="仿宋_GB2312"/>
                <w:sz w:val="24"/>
                <w:szCs w:val="24"/>
              </w:rPr>
              <w:t>中核霞浦核电示范快堆项目、宁德核电5、6号机组、华能霞浦核电项目、国网时代福建吉瓦级宁德霞浦储能工程、霞浦海上风电场工程、生物质供热发电一体化项目、周宁抽水蓄能电站等。</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仿宋_GB2312" w:cs="仿宋_GB2312"/>
                <w:sz w:val="24"/>
                <w:szCs w:val="24"/>
              </w:rPr>
            </w:pPr>
            <w:r>
              <w:rPr>
                <w:rFonts w:hint="eastAsia" w:ascii="仿宋_GB2312" w:hAnsi="仿宋_GB2312" w:cs="仿宋_GB2312"/>
                <w:b/>
                <w:bCs/>
                <w:sz w:val="24"/>
                <w:szCs w:val="24"/>
              </w:rPr>
              <w:t>油气管网工程：</w:t>
            </w:r>
            <w:r>
              <w:rPr>
                <w:rFonts w:hint="eastAsia" w:ascii="仿宋_GB2312" w:hAnsi="仿宋_GB2312" w:cs="仿宋_GB2312"/>
                <w:sz w:val="24"/>
                <w:szCs w:val="24"/>
              </w:rPr>
              <w:t>海西天然气管道项目（古田、屏南、寿宁、周宁）、海西天然气管道福安段等建设工程。</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461" w:name="_Toc16850"/>
      <w:bookmarkStart w:id="462" w:name="_Toc16303"/>
      <w:bookmarkStart w:id="463" w:name="_Toc58194563"/>
      <w:bookmarkStart w:id="464" w:name="_Toc3377"/>
      <w:bookmarkStart w:id="465" w:name="_Toc1590"/>
      <w:bookmarkStart w:id="466" w:name="_Toc57320175"/>
      <w:bookmarkStart w:id="467" w:name="_Toc18574"/>
      <w:bookmarkStart w:id="468" w:name="_Toc10651"/>
      <w:bookmarkStart w:id="469" w:name="_Toc55935796"/>
      <w:bookmarkStart w:id="470" w:name="_Toc17801"/>
      <w:bookmarkStart w:id="471" w:name="_Toc22631"/>
      <w:bookmarkStart w:id="472" w:name="_Toc32607"/>
      <w:bookmarkStart w:id="473" w:name="_Toc55722891"/>
      <w:bookmarkStart w:id="474" w:name="_Toc3862"/>
      <w:bookmarkStart w:id="475" w:name="_Toc53767520"/>
      <w:bookmarkStart w:id="476" w:name="_Toc15111"/>
      <w:bookmarkStart w:id="477" w:name="_Toc23118"/>
      <w:bookmarkStart w:id="478" w:name="_Toc61117364"/>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第三节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构筑安全可靠水利设施</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Pr>
          <w:rFonts w:hint="eastAsia" w:ascii="楷体" w:hAnsi="楷体" w:eastAsia="楷体"/>
          <w:sz w:val="32"/>
          <w:szCs w:val="36"/>
        </w:rPr>
        <w:t>体系</w:t>
      </w:r>
      <w:bookmarkEnd w:id="478"/>
    </w:p>
    <w:p>
      <w:pPr>
        <w:pageBreakBefore w:val="0"/>
        <w:kinsoku/>
        <w:wordWrap/>
        <w:overflowPunct/>
        <w:topLinePunct w:val="0"/>
        <w:autoSpaceDE/>
        <w:autoSpaceDN/>
        <w:bidi w:val="0"/>
        <w:spacing w:line="600" w:lineRule="exact"/>
        <w:ind w:firstLine="600"/>
        <w:textAlignment w:val="auto"/>
        <w:rPr>
          <w:rFonts w:hint="eastAsia"/>
        </w:rPr>
      </w:pPr>
      <w:bookmarkStart w:id="479" w:name="_Hlk57227739"/>
    </w:p>
    <w:p>
      <w:pPr>
        <w:pageBreakBefore w:val="0"/>
        <w:kinsoku/>
        <w:wordWrap/>
        <w:overflowPunct/>
        <w:topLinePunct w:val="0"/>
        <w:autoSpaceDE/>
        <w:autoSpaceDN/>
        <w:bidi w:val="0"/>
        <w:spacing w:line="600" w:lineRule="exact"/>
        <w:ind w:firstLine="600"/>
        <w:textAlignment w:val="auto"/>
      </w:pPr>
      <w:r>
        <w:rPr>
          <w:rFonts w:hint="eastAsia"/>
        </w:rPr>
        <w:t>按照“节水优先、空间均衡、系统治理、两手发力”的治水思路，围绕“水利工程补短板，水利行业强监管”的总基调推进水利基础设施建设，提升水资源保障能力，增强防洪减灾能力，确保城乡供水安全。</w:t>
      </w:r>
      <w:bookmarkEnd w:id="479"/>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一、完善水资源保障体系</w:t>
      </w:r>
    </w:p>
    <w:p>
      <w:pPr>
        <w:pageBreakBefore w:val="0"/>
        <w:kinsoku/>
        <w:wordWrap/>
        <w:overflowPunct/>
        <w:topLinePunct w:val="0"/>
        <w:autoSpaceDE/>
        <w:autoSpaceDN/>
        <w:bidi w:val="0"/>
        <w:spacing w:line="600" w:lineRule="exact"/>
        <w:ind w:firstLine="600"/>
        <w:textAlignment w:val="auto"/>
      </w:pPr>
      <w:r>
        <w:rPr>
          <w:rFonts w:hint="eastAsia"/>
        </w:rPr>
        <w:t>优化配置区域水资源，加快跨区域丰枯互补的蓄、引、调工程建设，重点实施一批蓄水工程和一批跨流域引调水工程，提升水资源安全保障能力。统筹规划城乡供水设施，通过建设集中连片规模化供水设施向农村延伸，构筑城乡供水服务均等化的饮水安全保障体系，推进城乡供水一体化，保障农村饮用水安全，重点解决偏远乡村供水问题。</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二、构建防洪减灾体系</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坚持重点防御、兼顾一般、洪涝兼治的思路，推进赛江、古田溪、霍童溪等江河流域防洪治理，推进上白石水利枢纽工程、闽东苏区（宁德中心城区）防洪防潮等城市防洪防潮工程，不断提升城市防洪防潮排涝能力。加强水库、海堤、水闸等除险加固工程建设，进一步完善防洪防潮排涝体系。至2025年，全市9县（市、区）防洪能力达到20-50年一遇标准。</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三、打造水生态安全体系</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推进安全生态水系建设，实现防洪安全与生态建设的有机统一，加大陈家洋等水库水源地保护力度，设立生态隔离防护区，集中关闭保护区内的排污口，确保饮用水水源地水质达标率达到100%。加强赛江、霍童溪上游水土保持生态建设与修复，完善流域生态保护补偿机制。完善水环境监测预警体系，加强交接断面水质自动监测系统、饮用水源地水质自动监测系统的运行管理。</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楷体" w:cs="楷体"/>
                <w:szCs w:val="30"/>
              </w:rPr>
            </w:pPr>
            <w:r>
              <w:rPr>
                <w:rFonts w:hint="eastAsia" w:ascii="仿宋_GB2312" w:hAnsi="楷体" w:cs="楷体"/>
                <w:b/>
                <w:bCs/>
                <w:szCs w:val="30"/>
              </w:rPr>
              <w:t>专栏6-6：水安全保障工程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仿宋_GB2312" w:hAnsi="仿宋_GB2312" w:cs="仿宋_GB2312"/>
                <w:sz w:val="24"/>
                <w:szCs w:val="24"/>
              </w:rPr>
            </w:pPr>
            <w:r>
              <w:rPr>
                <w:rFonts w:hint="eastAsia" w:ascii="仿宋_GB2312" w:hAnsi="仿宋_GB2312" w:cs="仿宋_GB2312"/>
                <w:b/>
                <w:bCs/>
                <w:sz w:val="24"/>
                <w:szCs w:val="24"/>
              </w:rPr>
              <w:t>水资源安全保障工程：</w:t>
            </w:r>
            <w:r>
              <w:rPr>
                <w:rFonts w:hint="eastAsia" w:ascii="仿宋_GB2312" w:hAnsi="仿宋_GB2312" w:cs="仿宋_GB2312"/>
                <w:sz w:val="24"/>
                <w:szCs w:val="24"/>
              </w:rPr>
              <w:t>闽东水资源配置工程（重点推进宁德中心城区湖库连通水资源优化配置工程项目，以及福鼎管阳溪跨流域引水工程、福安穆阳溪引水一期工程、霞浦田螺岗水库-溪南半岛水厂、古田城区供水调水工程、屏南龙虎岔水库引水工程、寿宁犀溪引水工程、寿宁东部新区引调水工程、柘荣县青岚引调水工程），福安茜安重点中型灌区续建配套与节水改造工程，</w:t>
            </w:r>
            <w:r>
              <w:rPr>
                <w:rFonts w:hint="eastAsia" w:ascii="仿宋_GB2312" w:hAnsi="仿宋_GB2312" w:cs="仿宋_GB2312"/>
                <w:sz w:val="24"/>
              </w:rPr>
              <w:t>福安溪尾、福鼎溪头、</w:t>
            </w:r>
            <w:r>
              <w:rPr>
                <w:rFonts w:hint="eastAsia" w:ascii="仿宋_GB2312" w:hAnsi="仿宋_GB2312" w:cs="仿宋_GB2312"/>
                <w:sz w:val="24"/>
                <w:szCs w:val="24"/>
              </w:rPr>
              <w:t>福鼎小溪、霞浦田螺岗、吴坑、古田黄田仔</w:t>
            </w:r>
            <w:r>
              <w:rPr>
                <w:rFonts w:hint="eastAsia" w:ascii="仿宋_GB2312" w:hAnsi="仿宋_GB2312" w:cs="仿宋_GB2312"/>
                <w:sz w:val="24"/>
              </w:rPr>
              <w:t>等中型水库及周宁坂坑、福安</w:t>
            </w:r>
            <w:r>
              <w:rPr>
                <w:rFonts w:hint="eastAsia" w:ascii="仿宋_GB2312" w:hAnsi="仿宋_GB2312" w:cs="仿宋_GB2312"/>
                <w:sz w:val="24"/>
                <w:szCs w:val="24"/>
              </w:rPr>
              <w:t>茜洋等一批小型</w:t>
            </w:r>
            <w:r>
              <w:rPr>
                <w:rFonts w:hint="eastAsia" w:ascii="仿宋_GB2312" w:hAnsi="仿宋_GB2312" w:cs="仿宋_GB2312"/>
                <w:sz w:val="24"/>
              </w:rPr>
              <w:t>水库工程</w:t>
            </w:r>
            <w:r>
              <w:rPr>
                <w:rFonts w:hint="eastAsia" w:ascii="仿宋_GB2312" w:hAnsi="仿宋_GB2312" w:cs="仿宋_GB2312"/>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仿宋_GB2312" w:cs="仿宋_GB2312"/>
                <w:sz w:val="24"/>
                <w:szCs w:val="24"/>
              </w:rPr>
            </w:pPr>
            <w:r>
              <w:rPr>
                <w:rFonts w:hint="eastAsia" w:ascii="仿宋_GB2312" w:hAnsi="仿宋_GB2312" w:cs="仿宋_GB2312"/>
                <w:b/>
                <w:bCs/>
                <w:sz w:val="24"/>
                <w:szCs w:val="24"/>
              </w:rPr>
              <w:t>防洪防潮排涝安全保障工程：</w:t>
            </w:r>
            <w:r>
              <w:rPr>
                <w:rFonts w:hint="eastAsia" w:ascii="仿宋_GB2312" w:hAnsi="仿宋_GB2312" w:cs="仿宋_GB2312"/>
                <w:sz w:val="24"/>
                <w:szCs w:val="24"/>
              </w:rPr>
              <w:t>上白石水利枢纽工程，闽东苏区(宁德中心城区）防洪防潮工程</w:t>
            </w:r>
            <w:r>
              <w:rPr>
                <w:rFonts w:hint="eastAsia" w:ascii="仿宋_GB2312" w:cs="仿宋_GB2312"/>
                <w:sz w:val="24"/>
                <w:szCs w:val="24"/>
              </w:rPr>
              <w:t>，</w:t>
            </w:r>
            <w:r>
              <w:rPr>
                <w:rFonts w:hint="eastAsia" w:ascii="仿宋_GB2312" w:hAnsi="仿宋_GB2312" w:cs="仿宋_GB2312"/>
                <w:sz w:val="24"/>
                <w:szCs w:val="24"/>
              </w:rPr>
              <w:t>赛江、古田溪、霍童溪防洪提升工程，</w:t>
            </w:r>
            <w:r>
              <w:rPr>
                <w:rFonts w:hint="eastAsia" w:ascii="仿宋_GB2312" w:cs="仿宋_GB2312"/>
                <w:sz w:val="24"/>
                <w:szCs w:val="24"/>
              </w:rPr>
              <w:t>福安、福鼎、寿宁、周宁等防洪排涝工程</w:t>
            </w:r>
            <w:r>
              <w:rPr>
                <w:rFonts w:hint="eastAsia" w:ascii="仿宋_GB2312" w:hAnsi="仿宋_GB2312" w:cs="仿宋_GB2312"/>
                <w:sz w:val="24"/>
                <w:szCs w:val="24"/>
              </w:rPr>
              <w:t>。</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仿宋_GB2312" w:cs="仿宋_GB2312"/>
                <w:sz w:val="24"/>
                <w:szCs w:val="24"/>
              </w:rPr>
            </w:pPr>
            <w:r>
              <w:rPr>
                <w:rFonts w:hint="eastAsia" w:ascii="仿宋_GB2312" w:hAnsi="仿宋_GB2312" w:cs="仿宋_GB2312"/>
                <w:b/>
                <w:bCs/>
                <w:sz w:val="24"/>
                <w:szCs w:val="24"/>
              </w:rPr>
              <w:t>供水工程：</w:t>
            </w:r>
            <w:r>
              <w:rPr>
                <w:rFonts w:hint="eastAsia" w:ascii="仿宋_GB2312" w:hAnsi="仿宋_GB2312" w:cs="仿宋_GB2312"/>
                <w:sz w:val="24"/>
                <w:szCs w:val="24"/>
              </w:rPr>
              <w:t>9个县（市、区）城乡供水一体化工程。</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480" w:name="_Toc58194564"/>
      <w:bookmarkStart w:id="481" w:name="_Toc53767521"/>
      <w:bookmarkStart w:id="482" w:name="_Toc55722892"/>
      <w:bookmarkStart w:id="483" w:name="_Toc57320176"/>
      <w:bookmarkStart w:id="484" w:name="_Toc55935797"/>
      <w:bookmarkStart w:id="485" w:name="_Toc28730"/>
      <w:bookmarkStart w:id="486" w:name="_Toc5781"/>
      <w:bookmarkStart w:id="487" w:name="_Toc14475"/>
      <w:bookmarkStart w:id="488" w:name="_Toc13201"/>
      <w:bookmarkStart w:id="489" w:name="_Toc3928"/>
      <w:bookmarkStart w:id="490" w:name="_Toc61117365"/>
      <w:bookmarkStart w:id="491" w:name="_Toc26812"/>
      <w:bookmarkStart w:id="492" w:name="_Toc154"/>
      <w:bookmarkStart w:id="493" w:name="_Toc31917"/>
      <w:bookmarkStart w:id="494" w:name="_Toc12599"/>
      <w:bookmarkStart w:id="495" w:name="_Toc5983"/>
      <w:bookmarkStart w:id="496" w:name="_Toc29665"/>
      <w:bookmarkStart w:id="497" w:name="_Toc21824"/>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第四节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合理布局市政设施</w:t>
      </w:r>
      <w:bookmarkEnd w:id="480"/>
      <w:bookmarkEnd w:id="481"/>
      <w:bookmarkEnd w:id="482"/>
      <w:bookmarkEnd w:id="483"/>
      <w:bookmarkEnd w:id="484"/>
      <w:r>
        <w:rPr>
          <w:rFonts w:hint="eastAsia" w:ascii="楷体" w:hAnsi="楷体" w:eastAsia="楷体"/>
          <w:sz w:val="32"/>
          <w:szCs w:val="36"/>
        </w:rPr>
        <w:t>网络</w:t>
      </w:r>
      <w:bookmarkEnd w:id="485"/>
      <w:bookmarkEnd w:id="486"/>
      <w:bookmarkEnd w:id="487"/>
      <w:bookmarkEnd w:id="488"/>
      <w:bookmarkEnd w:id="489"/>
      <w:bookmarkEnd w:id="490"/>
      <w:bookmarkEnd w:id="491"/>
      <w:bookmarkEnd w:id="492"/>
      <w:bookmarkEnd w:id="493"/>
      <w:bookmarkEnd w:id="494"/>
      <w:bookmarkEnd w:id="495"/>
      <w:bookmarkEnd w:id="496"/>
      <w:bookmarkEnd w:id="497"/>
    </w:p>
    <w:p>
      <w:pPr>
        <w:pageBreakBefore w:val="0"/>
        <w:kinsoku/>
        <w:wordWrap/>
        <w:overflowPunct/>
        <w:topLinePunct w:val="0"/>
        <w:autoSpaceDE/>
        <w:autoSpaceDN/>
        <w:bidi w:val="0"/>
        <w:spacing w:line="600" w:lineRule="exact"/>
        <w:ind w:firstLine="600"/>
        <w:textAlignment w:val="auto"/>
        <w:rPr>
          <w:rFonts w:hint="eastAsia" w:ascii="仿宋_GB2312"/>
        </w:rPr>
      </w:pPr>
      <w:bookmarkStart w:id="498" w:name="_Hlk57227756"/>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适应城市发展的要求，坚持合理布局、方便群众，加快道路交通、公用设施、安全保障等市政设施建设，提升市政设施建设管理水平，增强城市综合承载能力。</w:t>
      </w:r>
      <w:bookmarkEnd w:id="498"/>
    </w:p>
    <w:p>
      <w:pPr>
        <w:keepNext/>
        <w:keepLines/>
        <w:pageBreakBefore w:val="0"/>
        <w:kinsoku/>
        <w:wordWrap/>
        <w:overflowPunct/>
        <w:topLinePunct w:val="0"/>
        <w:autoSpaceDE/>
        <w:autoSpaceDN/>
        <w:bidi w:val="0"/>
        <w:spacing w:line="600" w:lineRule="exact"/>
        <w:ind w:firstLine="602"/>
        <w:textAlignment w:val="auto"/>
        <w:outlineLvl w:val="2"/>
        <w:rPr>
          <w:rFonts w:hint="eastAsia" w:ascii="仿宋_GB2312"/>
          <w:b/>
          <w:bCs/>
          <w:szCs w:val="32"/>
        </w:rPr>
      </w:pPr>
      <w:r>
        <w:rPr>
          <w:rFonts w:hint="eastAsia" w:ascii="仿宋_GB2312"/>
          <w:b/>
          <w:bCs/>
          <w:szCs w:val="32"/>
        </w:rPr>
        <w:t>一、统筹推进市政交通建设</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完善城市道路网络，实施一批畅通工程，建设一批城市主干路，加快推进环三都澳区域城市快速路建设。实施“公交优先”战略，加快公交专用车道和停靠站建设，合理布局城区公交线路，中心城区实现公交站点500米全覆盖。积极发展城市慢行交通系统，加快“滨湖环山”休闲绿道建设，完善自行车系统等衔接设施建设，打造15分钟生活圈。加快推进公共停车设施建设，加强中心城区道路内停车管理，积极推进立体停车设施建设，推动“互</w:t>
      </w:r>
      <w:r>
        <w:rPr>
          <w:rFonts w:hint="eastAsia" w:ascii="仿宋_GB2312"/>
          <w:szCs w:val="30"/>
        </w:rPr>
        <w:t>联网</w:t>
      </w:r>
      <w:r>
        <w:rPr>
          <w:rFonts w:hint="eastAsia" w:ascii="仿宋_GB2312" w:hAnsi="仿宋_GB2312" w:cs="仿宋_GB2312"/>
          <w:szCs w:val="30"/>
        </w:rPr>
        <w:t>+</w:t>
      </w:r>
      <w:r>
        <w:rPr>
          <w:rFonts w:hint="eastAsia" w:ascii="仿宋_GB2312"/>
          <w:szCs w:val="30"/>
        </w:rPr>
        <w:t>”</w:t>
      </w:r>
      <w:r>
        <w:rPr>
          <w:rFonts w:hint="eastAsia" w:ascii="仿宋_GB2312"/>
        </w:rPr>
        <w:t>智慧停车系统建设，新增5000个城市路外公共停车泊位。</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二、完善城市公用设施建设</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推进老旧水厂、供水管网、二次供水设施改造提升，新建改造供水管网250公里以上。加强污水处理设施及管网建设，推进城市新区、产业集聚区和重点镇规划布局污水处理厂，新改建污水管网250公里以上。加快推进生活垃圾焚烧发电厂、厨余废弃物处理厂和大件垃圾处理厂等项目建设，通过区域联建焚烧厂或协同处置等方式，实现生活垃圾全域焚烧，生活垃圾零填埋；健全城乡生活垃圾收运处置体系，积极推行生活垃圾分类处置，城市垃圾处理率达到100%。着力推进海绵城市建设，加强排水防涝、生态组团和滞洪区等城市内涝防治建设，加快非机动车道、人行道、停车场、广场等透水铺装改造，新建改造雨水管道250公里以上。实施城市韧性工程，加强城市地下空间统一规划，统筹电力、通信、给排水、燃气等地下管网改造，推动开展地下综合管廊试点建设。</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三、建设城市安全保障设施</w:t>
      </w:r>
    </w:p>
    <w:p>
      <w:pPr>
        <w:pageBreakBefore w:val="0"/>
        <w:kinsoku/>
        <w:wordWrap/>
        <w:overflowPunct/>
        <w:topLinePunct w:val="0"/>
        <w:autoSpaceDE/>
        <w:autoSpaceDN/>
        <w:bidi w:val="0"/>
        <w:spacing w:line="600" w:lineRule="exact"/>
        <w:ind w:firstLine="600"/>
        <w:textAlignment w:val="auto"/>
      </w:pPr>
      <w:r>
        <w:rPr>
          <w:rFonts w:hint="eastAsia"/>
        </w:rPr>
        <w:t>建立健全城管、消防、抗震、气象、水文、人防等城市综合防灾和预警体系，加强城市防灾减灾设施和救援救助能力建设，强化公共建筑物和设施应急避难功能，发挥市县预警信息发布中心作用，提高城市公共事件应急处置能力。建立健全城市基础设施和地下管线信息系统，着力提高城市科学管理水平。</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cs="楷体"/>
                <w:b/>
                <w:bCs/>
                <w:szCs w:val="30"/>
              </w:rPr>
            </w:pPr>
            <w:r>
              <w:rPr>
                <w:rFonts w:hint="eastAsia" w:ascii="仿宋_GB2312" w:hAnsi="楷体" w:cs="楷体"/>
                <w:b/>
                <w:bCs/>
                <w:szCs w:val="30"/>
              </w:rPr>
              <w:t>专栏6</w:t>
            </w:r>
            <w:r>
              <w:rPr>
                <w:rFonts w:ascii="仿宋_GB2312" w:hAnsi="楷体" w:cs="楷体"/>
                <w:b/>
                <w:bCs/>
                <w:szCs w:val="30"/>
              </w:rPr>
              <w:t>-</w:t>
            </w:r>
            <w:r>
              <w:rPr>
                <w:rFonts w:hint="eastAsia" w:ascii="仿宋_GB2312" w:hAnsi="楷体" w:cs="楷体"/>
                <w:b/>
                <w:bCs/>
                <w:szCs w:val="30"/>
              </w:rPr>
              <w:t>7：市政设施建设工程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市政道路工程：</w:t>
            </w:r>
            <w:r>
              <w:rPr>
                <w:rFonts w:hint="eastAsia" w:ascii="仿宋_GB2312" w:hAnsi="仿宋_GB2312" w:cs="仿宋_GB2312"/>
                <w:sz w:val="24"/>
                <w:szCs w:val="24"/>
              </w:rPr>
              <w:t>推进连城路、东侨路、天德路、金湾路、鉴湖路等一批城市主干道建设，进一步完善古田、屏南、周宁、寿宁、福安、柘荣、福鼎、霞浦等市（县）城区主干路网。</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污水处理工程：</w:t>
            </w:r>
            <w:r>
              <w:rPr>
                <w:rFonts w:hint="eastAsia" w:ascii="仿宋_GB2312" w:hAnsi="仿宋_GB2312" w:cs="仿宋_GB2312"/>
                <w:sz w:val="24"/>
                <w:szCs w:val="24"/>
              </w:rPr>
              <w:t>推进宁德市漳湾片区、福安市、屏南县、寿宁县、柘荣县、福鼎市、霞浦县等污水处理厂扩容及宁德市农村生活污水治理项目建设。</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垃圾处理工程：</w:t>
            </w:r>
            <w:r>
              <w:rPr>
                <w:rFonts w:hint="eastAsia" w:ascii="仿宋_GB2312" w:hAnsi="仿宋_GB2312" w:cs="仿宋_GB2312"/>
                <w:sz w:val="24"/>
                <w:szCs w:val="24"/>
              </w:rPr>
              <w:t>宁德垃圾焚烧厂搬迁工程、寿宁县生活垃圾无害化处理项目、霞浦县护城河二期整治及垃圾焚烧发电项目、东侨区垃圾分类项目、屏南垃圾无害化处理项目等。</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cs="仿宋_GB2312"/>
                <w:b/>
                <w:bCs/>
                <w:sz w:val="24"/>
                <w:szCs w:val="24"/>
              </w:rPr>
              <w:t>消防设施工程：</w:t>
            </w:r>
            <w:r>
              <w:rPr>
                <w:rFonts w:hint="eastAsia" w:ascii="仿宋_GB2312" w:cs="仿宋_GB2312"/>
                <w:sz w:val="24"/>
                <w:szCs w:val="24"/>
              </w:rPr>
              <w:t>进一步完善建立完善市政消火栓建设、管理、维护工作机制，</w:t>
            </w:r>
            <w:r>
              <w:rPr>
                <w:rFonts w:ascii="仿宋_GB2312" w:cs="仿宋_GB2312"/>
                <w:sz w:val="24"/>
                <w:szCs w:val="24"/>
              </w:rPr>
              <w:t>2025</w:t>
            </w:r>
            <w:r>
              <w:rPr>
                <w:rFonts w:hint="eastAsia" w:ascii="仿宋_GB2312" w:cs="仿宋_GB2312"/>
                <w:sz w:val="24"/>
                <w:szCs w:val="24"/>
              </w:rPr>
              <w:t>年前新建消火栓</w:t>
            </w:r>
            <w:r>
              <w:rPr>
                <w:rFonts w:ascii="仿宋_GB2312" w:cs="仿宋_GB2312"/>
                <w:sz w:val="24"/>
                <w:szCs w:val="24"/>
              </w:rPr>
              <w:t>750</w:t>
            </w:r>
            <w:r>
              <w:rPr>
                <w:rFonts w:hint="eastAsia" w:ascii="仿宋_GB2312" w:cs="仿宋_GB2312"/>
                <w:sz w:val="24"/>
                <w:szCs w:val="24"/>
              </w:rPr>
              <w:t>个，结合各县市区实际，</w:t>
            </w:r>
            <w:r>
              <w:rPr>
                <w:rFonts w:ascii="仿宋_GB2312" w:cs="仿宋_GB2312"/>
                <w:sz w:val="24"/>
                <w:szCs w:val="24"/>
              </w:rPr>
              <w:t>2025</w:t>
            </w:r>
            <w:r>
              <w:rPr>
                <w:rFonts w:hint="eastAsia" w:ascii="仿宋_GB2312" w:cs="仿宋_GB2312"/>
                <w:sz w:val="24"/>
                <w:szCs w:val="24"/>
              </w:rPr>
              <w:t>年前每县市区至少新建一个消火取水码头或消防取水点。</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499" w:name="_Toc10207"/>
      <w:bookmarkStart w:id="500" w:name="_Toc29415"/>
      <w:bookmarkStart w:id="501" w:name="_Toc55935798"/>
      <w:bookmarkStart w:id="502" w:name="_Toc53767522"/>
      <w:bookmarkStart w:id="503" w:name="_Toc31663"/>
      <w:bookmarkStart w:id="504" w:name="_Toc17615"/>
      <w:bookmarkStart w:id="505" w:name="_Toc28494"/>
      <w:bookmarkStart w:id="506" w:name="_Toc23293"/>
      <w:bookmarkStart w:id="507" w:name="_Toc58194565"/>
      <w:bookmarkStart w:id="508" w:name="_Toc21885"/>
      <w:bookmarkStart w:id="509" w:name="_Toc8160"/>
      <w:bookmarkStart w:id="510" w:name="_Toc55722893"/>
      <w:bookmarkStart w:id="511" w:name="_Toc11337"/>
      <w:bookmarkStart w:id="512" w:name="_Toc18386"/>
      <w:bookmarkStart w:id="513" w:name="_Toc24374"/>
      <w:bookmarkStart w:id="514" w:name="_Toc61117366"/>
      <w:bookmarkStart w:id="515" w:name="_Toc13848"/>
      <w:bookmarkStart w:id="516" w:name="_Toc57320177"/>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第五节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推进新型基础设施建设</w:t>
      </w:r>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pPr>
        <w:pageBreakBefore w:val="0"/>
        <w:kinsoku/>
        <w:wordWrap/>
        <w:overflowPunct/>
        <w:topLinePunct w:val="0"/>
        <w:autoSpaceDE/>
        <w:autoSpaceDN/>
        <w:bidi w:val="0"/>
        <w:spacing w:line="600" w:lineRule="exact"/>
        <w:ind w:firstLine="600"/>
        <w:textAlignment w:val="auto"/>
        <w:rPr>
          <w:rFonts w:hint="eastAsia"/>
        </w:rPr>
      </w:pPr>
      <w:bookmarkStart w:id="517" w:name="_Hlk57227782"/>
    </w:p>
    <w:p>
      <w:pPr>
        <w:pageBreakBefore w:val="0"/>
        <w:kinsoku/>
        <w:wordWrap/>
        <w:overflowPunct/>
        <w:topLinePunct w:val="0"/>
        <w:autoSpaceDE/>
        <w:autoSpaceDN/>
        <w:bidi w:val="0"/>
        <w:spacing w:line="600" w:lineRule="exact"/>
        <w:ind w:firstLine="600"/>
        <w:textAlignment w:val="auto"/>
      </w:pPr>
      <w:r>
        <w:rPr>
          <w:rFonts w:hint="eastAsia"/>
        </w:rPr>
        <w:t>超前布局新型基础设施，构建高速、移动、安全、智能、泛在的新一代信息通信基础网络，加快全市重点区域电动基础设施建设，促进数字经济与实体经济融合发展。</w:t>
      </w:r>
      <w:bookmarkEnd w:id="517"/>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一、加快新一代信息基础设施建设</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大力推进骨干网、城域网和接入网升级改造，拓宽城域网出口带宽，优化宽带网络结构和性能。持续推进“5G+宽带”双千兆网络建设，实现企业、工厂、园区、商务楼宇全覆盖。有序推进县城以上城区及重点乡镇5G网络的布局建设，实现应用区域和场景网络连片优质覆盖。加快推进下一代互联网（IPv6）建设，重点加快城域网、接入网、互联网数据中心（IDC）等基础设施的下一代互联网升级改造。开展“5G+工业互联网”融合应用，加快工业互联网高质量外网建设，推动主导产业龙头企业开展工业互联网内网改造升级和示范应用。打造面向公共服务、社会管理、智能化生活和经济建设的云服务平台，形成市域资源集约、统一管理、数据共享的信息化服务体系。</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二、加快智慧城市示范应用工程建设</w:t>
      </w:r>
    </w:p>
    <w:p>
      <w:pPr>
        <w:pageBreakBefore w:val="0"/>
        <w:kinsoku/>
        <w:wordWrap/>
        <w:overflowPunct/>
        <w:topLinePunct w:val="0"/>
        <w:autoSpaceDE/>
        <w:autoSpaceDN/>
        <w:bidi w:val="0"/>
        <w:spacing w:line="600" w:lineRule="exact"/>
        <w:ind w:firstLine="600"/>
        <w:textAlignment w:val="auto"/>
      </w:pPr>
      <w:r>
        <w:rPr>
          <w:rFonts w:hint="eastAsia"/>
        </w:rPr>
        <w:t>以数字宁德建设为契机，建设统一的综合信息服务平台，强化应用协同，推进资源整合，加快实施一批智慧城市示范应用工程，提升城市治理、社会管理和公共服务水平。建设宁德云计算中心，突破行业、部门间壁垒，建立统一开放的公共基础信息数据平台。积极推进智慧政务、智慧交通、智慧能源、智慧气象、智慧城管、智慧城市规划等示范项目建设应用，提高城市管理精细化、社会治理智能化、公共服务便捷化及决策科学化水平。实施信息惠民工程，推进与市民生活密切相关的医疗、教育、养老、社会保障等公共服务智慧化，提升公共服务均等普惠水平。</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三、加快推动“电动宁德”建设</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加快全市重点区域电动基础设施建设，建成一批电动景区、电动厂区、电动港区、电动校区、电动社区，全力打造全国电动示范城市。积极推进新能源汽车充电设施布局，推进高速公路互通口、国道、省道等主要路口集中式充电站建设。推动充电基础设施建设向乡镇、村庄、厂区、景区等重点区域延伸，建设公共充电桩500个以上，实现县域快速充电网络全覆盖。持续推进停车充电一体化设施建设，积极开展电动汽车智能充放电，打造统一的智能充电服务平台，依托停车场等公共场所，构建车桩相随、智能高效的充电基础设施体系。建设基于新能源发电的充、放、换电设施，建设一批光储充检一体化充电站。</w:t>
      </w:r>
    </w:p>
    <w:p>
      <w:pPr>
        <w:pageBreakBefore w:val="0"/>
        <w:widowControl/>
        <w:kinsoku/>
        <w:wordWrap/>
        <w:overflowPunct/>
        <w:topLinePunct w:val="0"/>
        <w:autoSpaceDE/>
        <w:autoSpaceDN/>
        <w:bidi w:val="0"/>
        <w:spacing w:line="600" w:lineRule="exact"/>
        <w:ind w:firstLine="0" w:firstLineChars="0"/>
        <w:jc w:val="left"/>
        <w:textAlignment w:val="auto"/>
      </w:pPr>
      <w:r>
        <w:br w:type="page"/>
      </w:r>
    </w:p>
    <w:p>
      <w:pPr>
        <w:pStyle w:val="3"/>
        <w:pageBreakBefore w:val="0"/>
        <w:kinsoku/>
        <w:wordWrap/>
        <w:overflowPunct/>
        <w:topLinePunct w:val="0"/>
        <w:autoSpaceDE/>
        <w:autoSpaceDN/>
        <w:bidi w:val="0"/>
        <w:spacing w:line="600" w:lineRule="exact"/>
        <w:textAlignment w:val="auto"/>
        <w:rPr>
          <w:rFonts w:hint="eastAsia" w:ascii="黑体" w:hAnsi="黑体" w:eastAsia="黑体"/>
          <w:b w:val="0"/>
          <w:bCs w:val="0"/>
          <w:sz w:val="32"/>
          <w:szCs w:val="48"/>
        </w:rPr>
      </w:pPr>
      <w:bookmarkStart w:id="518" w:name="_Toc6064"/>
      <w:bookmarkStart w:id="519" w:name="_Toc61117367"/>
      <w:bookmarkStart w:id="520" w:name="_Toc31327"/>
      <w:bookmarkStart w:id="521" w:name="_Toc28005"/>
      <w:bookmarkStart w:id="522" w:name="_Toc837"/>
      <w:bookmarkStart w:id="523" w:name="_Toc32687"/>
      <w:bookmarkStart w:id="524" w:name="_Toc5905"/>
      <w:bookmarkStart w:id="525" w:name="_Toc25272"/>
      <w:bookmarkStart w:id="526" w:name="_Toc5062"/>
      <w:bookmarkStart w:id="527" w:name="_Toc14930"/>
      <w:bookmarkStart w:id="528" w:name="_Toc31365"/>
      <w:bookmarkStart w:id="529" w:name="_Toc28449"/>
      <w:bookmarkStart w:id="530" w:name="_Toc17764"/>
      <w:bookmarkStart w:id="531" w:name="_Toc57326025"/>
      <w:bookmarkStart w:id="532" w:name="_Toc57320178"/>
    </w:p>
    <w:p>
      <w:pPr>
        <w:pStyle w:val="3"/>
        <w:pageBreakBefore w:val="0"/>
        <w:kinsoku/>
        <w:wordWrap/>
        <w:overflowPunct/>
        <w:topLinePunct w:val="0"/>
        <w:autoSpaceDE/>
        <w:autoSpaceDN/>
        <w:bidi w:val="0"/>
        <w:spacing w:line="600" w:lineRule="exact"/>
        <w:textAlignment w:val="auto"/>
        <w:rPr>
          <w:rFonts w:ascii="黑体" w:hAnsi="黑体" w:eastAsia="黑体"/>
          <w:sz w:val="32"/>
          <w:szCs w:val="48"/>
        </w:rPr>
      </w:pPr>
      <w:r>
        <w:rPr>
          <w:rFonts w:hint="eastAsia" w:ascii="黑体" w:hAnsi="黑体" w:eastAsia="黑体"/>
          <w:b w:val="0"/>
          <w:bCs w:val="0"/>
          <w:sz w:val="32"/>
          <w:szCs w:val="48"/>
        </w:rPr>
        <w:t>第七章</w:t>
      </w:r>
      <w:r>
        <w:rPr>
          <w:rFonts w:hint="eastAsia" w:ascii="黑体" w:hAnsi="黑体" w:eastAsia="黑体"/>
          <w:b w:val="0"/>
          <w:bCs w:val="0"/>
          <w:sz w:val="32"/>
          <w:szCs w:val="48"/>
          <w:lang w:val="en-US" w:eastAsia="zh-CN"/>
        </w:rPr>
        <w:t xml:space="preserve"> </w:t>
      </w:r>
      <w:r>
        <w:rPr>
          <w:rFonts w:ascii="黑体" w:hAnsi="黑体" w:eastAsia="黑体"/>
          <w:b w:val="0"/>
          <w:bCs w:val="0"/>
          <w:sz w:val="32"/>
          <w:szCs w:val="48"/>
        </w:rPr>
        <w:t xml:space="preserve"> </w:t>
      </w:r>
      <w:r>
        <w:rPr>
          <w:rFonts w:hint="eastAsia" w:ascii="黑体" w:hAnsi="黑体" w:eastAsia="黑体"/>
          <w:b w:val="0"/>
          <w:bCs w:val="0"/>
          <w:sz w:val="32"/>
          <w:szCs w:val="48"/>
        </w:rPr>
        <w:t>打造乡村振兴示范样板</w:t>
      </w:r>
      <w:bookmarkEnd w:id="518"/>
      <w:bookmarkEnd w:id="519"/>
      <w:bookmarkEnd w:id="520"/>
      <w:bookmarkEnd w:id="521"/>
      <w:bookmarkEnd w:id="522"/>
      <w:bookmarkEnd w:id="523"/>
      <w:bookmarkEnd w:id="524"/>
      <w:bookmarkEnd w:id="525"/>
      <w:bookmarkEnd w:id="526"/>
      <w:bookmarkEnd w:id="527"/>
      <w:bookmarkEnd w:id="528"/>
      <w:bookmarkEnd w:id="529"/>
      <w:bookmarkEnd w:id="530"/>
    </w:p>
    <w:p>
      <w:pPr>
        <w:pageBreakBefore w:val="0"/>
        <w:kinsoku/>
        <w:wordWrap/>
        <w:overflowPunct/>
        <w:topLinePunct w:val="0"/>
        <w:autoSpaceDE/>
        <w:autoSpaceDN/>
        <w:bidi w:val="0"/>
        <w:spacing w:line="600" w:lineRule="exact"/>
        <w:ind w:firstLine="600"/>
        <w:textAlignment w:val="auto"/>
        <w:rPr>
          <w:rFonts w:hint="eastAsia" w:ascii="仿宋_GB2312"/>
        </w:rPr>
      </w:pP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始终牢记习近平总书记在宁德工作期间提出的“靠山吃山唱山歌、靠海吃海念海经”，做强做优做大“8+1”特色产业，推广精准扶贫“宁德模式”，加快农业农村现代化，促进农业高质高效、乡村宜居宜业、农民富裕富足，走出具有闽东特色的乡村振兴之路。</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533" w:name="_Toc23152"/>
      <w:bookmarkStart w:id="534" w:name="_Toc23475"/>
      <w:bookmarkStart w:id="535" w:name="_Toc3445"/>
      <w:bookmarkStart w:id="536" w:name="_Toc31085"/>
      <w:bookmarkStart w:id="537" w:name="_Toc61117368"/>
      <w:bookmarkStart w:id="538" w:name="_Toc11055"/>
      <w:bookmarkStart w:id="539" w:name="_Toc27262"/>
      <w:bookmarkStart w:id="540" w:name="_Toc15439"/>
      <w:bookmarkStart w:id="541" w:name="_Toc21932"/>
      <w:bookmarkStart w:id="542" w:name="_Toc27863"/>
      <w:bookmarkStart w:id="543" w:name="_Toc9228"/>
      <w:bookmarkStart w:id="544" w:name="_Toc9182"/>
      <w:bookmarkStart w:id="545" w:name="_Toc15256"/>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b/>
          <w:bCs/>
          <w:sz w:val="32"/>
          <w:szCs w:val="36"/>
        </w:rPr>
      </w:pPr>
      <w:r>
        <w:rPr>
          <w:rFonts w:hint="eastAsia" w:ascii="楷体" w:hAnsi="楷体" w:eastAsia="楷体"/>
          <w:b/>
          <w:bCs/>
          <w:sz w:val="32"/>
          <w:szCs w:val="36"/>
        </w:rPr>
        <w:t>第一节</w:t>
      </w:r>
      <w:r>
        <w:rPr>
          <w:rFonts w:ascii="楷体" w:hAnsi="楷体" w:eastAsia="楷体"/>
          <w:b/>
          <w:bCs/>
          <w:sz w:val="32"/>
          <w:szCs w:val="36"/>
        </w:rPr>
        <w:t xml:space="preserve"> </w:t>
      </w:r>
      <w:r>
        <w:rPr>
          <w:rFonts w:hint="eastAsia" w:ascii="楷体" w:hAnsi="楷体" w:eastAsia="楷体"/>
          <w:b/>
          <w:bCs/>
          <w:sz w:val="32"/>
          <w:szCs w:val="36"/>
          <w:lang w:val="en-US" w:eastAsia="zh-CN"/>
        </w:rPr>
        <w:t xml:space="preserve"> </w:t>
      </w:r>
      <w:r>
        <w:rPr>
          <w:rFonts w:hint="eastAsia" w:ascii="楷体" w:hAnsi="楷体" w:eastAsia="楷体"/>
          <w:b/>
          <w:bCs/>
          <w:sz w:val="32"/>
          <w:szCs w:val="36"/>
        </w:rPr>
        <w:t>推进特色产业“五化”建设</w:t>
      </w:r>
      <w:bookmarkEnd w:id="533"/>
      <w:bookmarkEnd w:id="534"/>
      <w:bookmarkEnd w:id="535"/>
      <w:bookmarkEnd w:id="536"/>
      <w:bookmarkEnd w:id="537"/>
      <w:bookmarkEnd w:id="538"/>
      <w:bookmarkEnd w:id="539"/>
      <w:bookmarkEnd w:id="540"/>
      <w:bookmarkEnd w:id="541"/>
      <w:bookmarkEnd w:id="542"/>
      <w:bookmarkEnd w:id="543"/>
      <w:bookmarkEnd w:id="544"/>
      <w:bookmarkEnd w:id="545"/>
    </w:p>
    <w:p>
      <w:pPr>
        <w:pageBreakBefore w:val="0"/>
        <w:kinsoku/>
        <w:wordWrap/>
        <w:overflowPunct/>
        <w:topLinePunct w:val="0"/>
        <w:autoSpaceDE/>
        <w:autoSpaceDN/>
        <w:bidi w:val="0"/>
        <w:spacing w:line="600" w:lineRule="exact"/>
        <w:ind w:firstLine="600"/>
        <w:textAlignment w:val="auto"/>
        <w:rPr>
          <w:rFonts w:hint="eastAsia" w:ascii="仿宋_GB2312"/>
        </w:rPr>
      </w:pP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持续优化“两带一区”现代农业总体布局，推进粮食安全保障能力提升工程，加快推进特色产业规模化、标准化、品牌化、信息化、企业化发展。到2025年，力争茶叶、水产、食用菌、水果、蔬菜、中药材、畜牧、林竹花卉及乡村旅游“8+1”特色产业全产业链总规模达2500亿元。</w:t>
      </w:r>
    </w:p>
    <w:p>
      <w:pPr>
        <w:pStyle w:val="5"/>
        <w:pageBreakBefore w:val="0"/>
        <w:kinsoku/>
        <w:wordWrap/>
        <w:overflowPunct/>
        <w:topLinePunct w:val="0"/>
        <w:autoSpaceDE/>
        <w:autoSpaceDN/>
        <w:bidi w:val="0"/>
        <w:spacing w:line="600" w:lineRule="exact"/>
        <w:ind w:firstLine="602"/>
        <w:textAlignment w:val="auto"/>
      </w:pPr>
      <w:r>
        <w:rPr>
          <w:rFonts w:hint="eastAsia"/>
        </w:rPr>
        <w:t>一、打造规模化产业集群</w:t>
      </w:r>
    </w:p>
    <w:p>
      <w:pPr>
        <w:pageBreakBefore w:val="0"/>
        <w:kinsoku/>
        <w:wordWrap/>
        <w:overflowPunct/>
        <w:topLinePunct w:val="0"/>
        <w:autoSpaceDE/>
        <w:autoSpaceDN/>
        <w:bidi w:val="0"/>
        <w:spacing w:line="600" w:lineRule="exact"/>
        <w:ind w:firstLine="600"/>
        <w:textAlignment w:val="auto"/>
      </w:pPr>
      <w:r>
        <w:rPr>
          <w:rFonts w:hint="eastAsia"/>
        </w:rPr>
        <w:t>坚持“比较优势，错位发展”原则，重点推进特色农业产业规模化发展，引导土地、资金等要素向特色产业集中，发展适度规模经营。加快推进现代农业产业园、农业产业强镇</w:t>
      </w:r>
      <w:r>
        <w:rPr>
          <w:rFonts w:hint="eastAsia"/>
          <w:lang w:eastAsia="zh-CN"/>
        </w:rPr>
        <w:t>、农村产业融合发展示范园</w:t>
      </w:r>
      <w:r>
        <w:rPr>
          <w:rFonts w:hint="eastAsia"/>
        </w:rPr>
        <w:t>等发展平台建设，积极壮大产业链各环节，培育一批布局集中、资源集约利用、相互融合的产业集聚区。推进宁德特色农业产业由点状、块状的分散式布局向集聚式产业集群模式转变，打造以八大特色农业产业为核心的农业产业集群。</w:t>
      </w:r>
    </w:p>
    <w:p>
      <w:pPr>
        <w:pStyle w:val="5"/>
        <w:pageBreakBefore w:val="0"/>
        <w:kinsoku/>
        <w:wordWrap/>
        <w:overflowPunct/>
        <w:topLinePunct w:val="0"/>
        <w:autoSpaceDE/>
        <w:autoSpaceDN/>
        <w:bidi w:val="0"/>
        <w:spacing w:line="600" w:lineRule="exact"/>
        <w:ind w:firstLine="602"/>
        <w:textAlignment w:val="auto"/>
      </w:pPr>
      <w:r>
        <w:rPr>
          <w:rFonts w:hint="eastAsia"/>
        </w:rPr>
        <w:t>二、培育标准化示范基地</w:t>
      </w:r>
    </w:p>
    <w:p>
      <w:pPr>
        <w:pageBreakBefore w:val="0"/>
        <w:kinsoku/>
        <w:wordWrap/>
        <w:overflowPunct/>
        <w:topLinePunct w:val="0"/>
        <w:autoSpaceDE/>
        <w:autoSpaceDN/>
        <w:bidi w:val="0"/>
        <w:spacing w:line="600" w:lineRule="exact"/>
        <w:ind w:firstLine="600"/>
        <w:textAlignment w:val="auto"/>
      </w:pPr>
      <w:r>
        <w:rPr>
          <w:rFonts w:hint="eastAsia"/>
        </w:rPr>
        <w:t>围绕宁德大黄鱼、福鼎鲈鱼、古田水蜜桃、柘荣太子参等优势农产品，开展种业创新及良种推广工程，推动国家级大黄鱼遗传育种中心、宁德官井洋等原良种场持续发展，建设大黄鱼生态保育区。制定生产技术标准及管理标准，由家庭农场、农民合作社等经营主体向小农户推广，保障农产品量多质优。实施严格的农产品质量检测，打造“宁德标准”，提升农产品质量安全水平。推进“三品一标”农产品认证、农产品气候品质认证，积极推进优质农产品标准化示范基地（区）创建工作。</w:t>
      </w:r>
    </w:p>
    <w:p>
      <w:pPr>
        <w:pStyle w:val="5"/>
        <w:pageBreakBefore w:val="0"/>
        <w:kinsoku/>
        <w:wordWrap/>
        <w:overflowPunct/>
        <w:topLinePunct w:val="0"/>
        <w:autoSpaceDE/>
        <w:autoSpaceDN/>
        <w:bidi w:val="0"/>
        <w:spacing w:line="600" w:lineRule="exact"/>
        <w:ind w:firstLine="602"/>
        <w:textAlignment w:val="auto"/>
      </w:pPr>
      <w:r>
        <w:rPr>
          <w:rFonts w:hint="eastAsia"/>
        </w:rPr>
        <w:t>三、实施品牌化建设战略</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遵循“产品品牌</w:t>
      </w:r>
      <w:r>
        <w:rPr>
          <w:rFonts w:ascii="仿宋_GB2312"/>
          <w:szCs w:val="30"/>
        </w:rPr>
        <w:t>-</w:t>
      </w:r>
      <w:r>
        <w:rPr>
          <w:rFonts w:hint="eastAsia" w:ascii="仿宋_GB2312"/>
        </w:rPr>
        <w:t>企业品牌</w:t>
      </w:r>
      <w:r>
        <w:rPr>
          <w:rFonts w:ascii="仿宋_GB2312"/>
          <w:szCs w:val="30"/>
        </w:rPr>
        <w:t>-</w:t>
      </w:r>
      <w:r>
        <w:rPr>
          <w:rFonts w:hint="eastAsia" w:ascii="仿宋_GB2312"/>
        </w:rPr>
        <w:t>区域公用品牌”的发展路径，依托宁德大黄鱼、福鼎白茶、坦洋工夫、福安巨峰葡萄、柘荣太子参、柘荣高山白茶、寿宁高山乌龙茶、周宁高山云雾茶、古田银耳、屏南高山花菜、屏南李、霞浦海带紫菜等特色老品牌，带动新品牌、小品牌快速成长，发展壮大农产品龙头企业，扩大“0593宁德号”区域公用品牌影响力。按照“差异化产业+先进性技术”思路，建设区块链溯源体系，实现种养殖、加工、物流、销售到消费各环节可信数字化。结合淘宝、京东等电商平台，实现线上线下双轨运营。</w:t>
      </w:r>
    </w:p>
    <w:p>
      <w:pPr>
        <w:pStyle w:val="5"/>
        <w:pageBreakBefore w:val="0"/>
        <w:kinsoku/>
        <w:wordWrap/>
        <w:overflowPunct/>
        <w:topLinePunct w:val="0"/>
        <w:autoSpaceDE/>
        <w:autoSpaceDN/>
        <w:bidi w:val="0"/>
        <w:spacing w:line="600" w:lineRule="exact"/>
        <w:ind w:firstLine="602"/>
        <w:textAlignment w:val="auto"/>
      </w:pPr>
      <w:r>
        <w:rPr>
          <w:rFonts w:hint="eastAsia"/>
        </w:rPr>
        <w:t>四、发展信息化智慧农业</w:t>
      </w:r>
    </w:p>
    <w:p>
      <w:pPr>
        <w:pageBreakBefore w:val="0"/>
        <w:kinsoku/>
        <w:wordWrap/>
        <w:overflowPunct/>
        <w:topLinePunct w:val="0"/>
        <w:autoSpaceDE/>
        <w:autoSpaceDN/>
        <w:bidi w:val="0"/>
        <w:spacing w:line="600" w:lineRule="exact"/>
        <w:ind w:firstLine="600"/>
        <w:textAlignment w:val="auto"/>
      </w:pPr>
      <w:r>
        <w:rPr>
          <w:rFonts w:hint="eastAsia"/>
        </w:rPr>
        <w:t>推动智慧农机建设，打造智慧农机信息服务平台，重点推广应用菌菇房智能环境测控、北斗遥感监测等先进技术，提高农业经营主体智能化装备水平。依托宁德国家农业科技园，建设云端农业科技服务体系，推广“互联网</w:t>
      </w:r>
      <w:r>
        <w:rPr>
          <w:rFonts w:ascii="仿宋_GB2312"/>
        </w:rPr>
        <w:t>+</w:t>
      </w:r>
      <w:r>
        <w:rPr>
          <w:rFonts w:hint="eastAsia"/>
        </w:rPr>
        <w:t>农业科技综合服务”，提供线上线下联动的科技服务模式。推进农产品智慧批发市场建设，升级改造规模以上农产品批发市场，增加智能交易、农产品“一品一码”溯源等系统。</w:t>
      </w:r>
      <w:r>
        <w:rPr>
          <w:rFonts w:hint="eastAsia"/>
          <w:lang w:eastAsia="zh-CN"/>
        </w:rPr>
        <w:t>发展</w:t>
      </w:r>
      <w:r>
        <w:rPr>
          <w:rFonts w:hint="eastAsia"/>
        </w:rPr>
        <w:t>智慧农业项目，加快</w:t>
      </w:r>
      <w:r>
        <w:rPr>
          <w:rFonts w:hint="eastAsia"/>
          <w:lang w:eastAsia="zh-CN"/>
        </w:rPr>
        <w:t>建设</w:t>
      </w:r>
      <w:r>
        <w:rPr>
          <w:rFonts w:hint="eastAsia"/>
        </w:rPr>
        <w:t>信息化智慧农业试验区。</w:t>
      </w:r>
    </w:p>
    <w:p>
      <w:pPr>
        <w:pStyle w:val="5"/>
        <w:pageBreakBefore w:val="0"/>
        <w:kinsoku/>
        <w:wordWrap/>
        <w:overflowPunct/>
        <w:topLinePunct w:val="0"/>
        <w:autoSpaceDE/>
        <w:autoSpaceDN/>
        <w:bidi w:val="0"/>
        <w:spacing w:line="600" w:lineRule="exact"/>
        <w:ind w:firstLine="602"/>
        <w:textAlignment w:val="auto"/>
      </w:pPr>
      <w:r>
        <w:rPr>
          <w:rFonts w:hint="eastAsia"/>
        </w:rPr>
        <w:t>五、推广企业化转型模式</w:t>
      </w:r>
    </w:p>
    <w:p>
      <w:pPr>
        <w:pageBreakBefore w:val="0"/>
        <w:kinsoku/>
        <w:wordWrap/>
        <w:overflowPunct/>
        <w:topLinePunct w:val="0"/>
        <w:autoSpaceDE/>
        <w:autoSpaceDN/>
        <w:bidi w:val="0"/>
        <w:spacing w:line="600" w:lineRule="exact"/>
        <w:ind w:firstLine="600"/>
        <w:textAlignment w:val="auto"/>
        <w:rPr>
          <w:szCs w:val="30"/>
        </w:rPr>
      </w:pPr>
      <w:r>
        <w:rPr>
          <w:rFonts w:hint="eastAsia"/>
          <w:szCs w:val="30"/>
        </w:rPr>
        <w:t>积极培育农业产业化龙头企业、农民合作社、家庭农场等新型农业经营主体，通过“公司</w:t>
      </w:r>
      <w:r>
        <w:rPr>
          <w:rFonts w:ascii="仿宋_GB2312"/>
        </w:rPr>
        <w:t>+</w:t>
      </w:r>
      <w:r>
        <w:rPr>
          <w:rFonts w:hint="eastAsia"/>
          <w:szCs w:val="30"/>
        </w:rPr>
        <w:t>农民合作社</w:t>
      </w:r>
      <w:r>
        <w:rPr>
          <w:rFonts w:ascii="仿宋_GB2312"/>
        </w:rPr>
        <w:t>+</w:t>
      </w:r>
      <w:r>
        <w:rPr>
          <w:rFonts w:hint="eastAsia" w:ascii="仿宋_GB2312"/>
        </w:rPr>
        <w:t>家</w:t>
      </w:r>
      <w:r>
        <w:rPr>
          <w:rFonts w:hint="eastAsia"/>
          <w:szCs w:val="30"/>
        </w:rPr>
        <w:t>庭农场”组织模式和企业化经营理念，串联各类农业经营主体，实现特色产业企业化转型升级。培育壮大茶叶、水产、食用菌、果蔬等特色产业的农业产业化龙头企业，增强龙头企业联农带农富农能力。提升农民合作社纽带作用，围绕农产品的产前选种、产中管理、产后流通等环节从事生产经营和服务。</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cs="楷体"/>
                <w:szCs w:val="30"/>
              </w:rPr>
            </w:pPr>
            <w:r>
              <w:rPr>
                <w:rFonts w:hint="eastAsia" w:ascii="仿宋_GB2312" w:hAnsi="楷体" w:cs="楷体"/>
                <w:b/>
                <w:bCs/>
                <w:szCs w:val="30"/>
              </w:rPr>
              <w:t>专栏7</w:t>
            </w:r>
            <w:r>
              <w:rPr>
                <w:rFonts w:ascii="仿宋_GB2312" w:hAnsi="楷体" w:cs="楷体"/>
                <w:b/>
                <w:bCs/>
                <w:szCs w:val="30"/>
              </w:rPr>
              <w:t>-1</w:t>
            </w:r>
            <w:r>
              <w:rPr>
                <w:rFonts w:hint="eastAsia" w:ascii="仿宋_GB2312" w:hAnsi="楷体" w:cs="楷体"/>
                <w:b/>
                <w:bCs/>
                <w:szCs w:val="30"/>
              </w:rPr>
              <w:t>：特色农业产业“两带一区”总体布局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Borders>
              <w:bottom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沿海蓝色农业产业带：</w:t>
            </w:r>
            <w:r>
              <w:rPr>
                <w:rFonts w:hint="eastAsia" w:ascii="仿宋_GB2312" w:hAnsi="仿宋_GB2312" w:cs="仿宋_GB2312"/>
                <w:sz w:val="24"/>
                <w:szCs w:val="24"/>
              </w:rPr>
              <w:t>蕉城、福安、福鼎和霞浦等四个县（市、区）加快发展沿海蓝色经济产业带，发挥沿海资源优势，加快发展水产养殖业、水产加工业，配套建立水产品交易市场、冷藏库以及水产物流码头，建设闽台水产交易平台，优化产业链分工布局，增强产业集中度和综合配套能力，进一步巩固、发展环三都澳和沙埕港区域海洋渔业领先、示范的地位。</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山区绿色农业产业带：</w:t>
            </w:r>
            <w:r>
              <w:rPr>
                <w:rFonts w:hint="eastAsia" w:ascii="仿宋_GB2312" w:hAnsi="仿宋_GB2312" w:cs="仿宋_GB2312"/>
                <w:sz w:val="24"/>
                <w:szCs w:val="24"/>
              </w:rPr>
              <w:t>古田、屏南、周宁、寿宁、柘荣等五个山区县加快发展山区绿色经济带，发挥山区特色资源优势，加快发展茶叶、食用菌、竹木、果蔬、中药材、林竹花卉等绿色产业。</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城郊平原高优农业示范区：</w:t>
            </w:r>
            <w:r>
              <w:rPr>
                <w:rFonts w:hint="eastAsia" w:ascii="仿宋_GB2312" w:hAnsi="仿宋_GB2312" w:cs="仿宋_GB2312"/>
                <w:sz w:val="24"/>
                <w:szCs w:val="24"/>
              </w:rPr>
              <w:t>突出高优农业示范区建设，以“菜篮子”为支点，以设施园艺业为重点，大力发展设施蔬菜、设施瓜果，建立集设施栽培、采摘观光、教育实践、农业科普、休闲创意等为一体的现代农业示范区。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Borders>
              <w:top w:val="single" w:color="auto" w:sz="4" w:space="0"/>
              <w:left w:val="nil"/>
              <w:bottom w:val="nil"/>
              <w:right w:val="nil"/>
            </w:tcBorders>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仿宋_GB2312" w:hAnsi="仿宋_GB2312" w:cs="仿宋_GB2312"/>
                <w:b/>
                <w:bCs/>
                <w:sz w:val="24"/>
                <w:szCs w:val="24"/>
              </w:rPr>
            </w:pPr>
          </w:p>
        </w:tc>
      </w:tr>
    </w:tbl>
    <w:tbl>
      <w:tblPr>
        <w:tblStyle w:val="23"/>
        <w:tblpPr w:leftFromText="180" w:rightFromText="180" w:vertAnchor="text" w:horzAnchor="margin" w:tblpXSpec="center" w:tblpY="17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cs="楷体"/>
                <w:szCs w:val="30"/>
              </w:rPr>
            </w:pPr>
            <w:r>
              <w:rPr>
                <w:rFonts w:hint="eastAsia" w:ascii="仿宋_GB2312" w:hAnsi="楷体" w:cs="楷体"/>
                <w:b/>
                <w:bCs/>
                <w:szCs w:val="30"/>
              </w:rPr>
              <w:t>专栏7</w:t>
            </w:r>
            <w:r>
              <w:rPr>
                <w:rFonts w:ascii="仿宋_GB2312" w:hAnsi="楷体" w:cs="楷体"/>
                <w:b/>
                <w:bCs/>
                <w:szCs w:val="30"/>
              </w:rPr>
              <w:t>-2</w:t>
            </w:r>
            <w:r>
              <w:rPr>
                <w:rFonts w:hint="eastAsia" w:ascii="仿宋_GB2312" w:hAnsi="楷体" w:cs="楷体"/>
                <w:b/>
                <w:bCs/>
                <w:szCs w:val="30"/>
              </w:rPr>
              <w:t>：“</w:t>
            </w:r>
            <w:r>
              <w:rPr>
                <w:rFonts w:ascii="仿宋_GB2312" w:hAnsi="楷体" w:cs="楷体"/>
                <w:b/>
                <w:bCs/>
                <w:szCs w:val="30"/>
              </w:rPr>
              <w:t>8+1</w:t>
            </w:r>
            <w:r>
              <w:rPr>
                <w:rFonts w:hint="eastAsia" w:ascii="仿宋_GB2312" w:hAnsi="楷体" w:cs="楷体"/>
                <w:b/>
                <w:bCs/>
                <w:szCs w:val="30"/>
              </w:rPr>
              <w:t>”特色产业提升工程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建设国际知名的中国名茶之乡：</w:t>
            </w:r>
            <w:r>
              <w:rPr>
                <w:rFonts w:hint="eastAsia" w:ascii="仿宋_GB2312" w:hAnsi="仿宋_GB2312" w:cs="仿宋_GB2312"/>
                <w:sz w:val="24"/>
                <w:szCs w:val="24"/>
              </w:rPr>
              <w:t>开展茶叶原产地保护和品牌建设行动，将“福鼎白茶”“坦洋工夫”“寿宁高山茶”“周宁高山云雾茶”等打造成为国内外知名品牌。鼓励支持茶企与科研院校产学研合作，加快推进周宁、寿宁、福鼎等现代茶叶产业园和生态茶园建设，完成低产低质茶园改造10万亩以上。</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pPr>
            <w:r>
              <w:rPr>
                <w:rFonts w:hint="eastAsia" w:ascii="仿宋_GB2312" w:hAnsi="仿宋_GB2312" w:cs="仿宋_GB2312"/>
                <w:b/>
                <w:bCs/>
                <w:sz w:val="24"/>
                <w:szCs w:val="24"/>
              </w:rPr>
              <w:t>建设中国特色水产之乡：</w:t>
            </w:r>
            <w:r>
              <w:rPr>
                <w:rFonts w:hint="eastAsia" w:ascii="仿宋_GB2312" w:hAnsi="仿宋_GB2312" w:cs="仿宋_GB2312"/>
                <w:b w:val="0"/>
                <w:bCs w:val="0"/>
                <w:sz w:val="24"/>
                <w:szCs w:val="24"/>
                <w:lang w:eastAsia="zh-CN"/>
              </w:rPr>
              <w:t>推广绿色生态健康养殖方式，</w:t>
            </w:r>
            <w:r>
              <w:rPr>
                <w:rFonts w:hint="eastAsia" w:ascii="仿宋_GB2312" w:hAnsi="仿宋_GB2312" w:cs="仿宋_GB2312"/>
                <w:sz w:val="24"/>
                <w:szCs w:val="24"/>
              </w:rPr>
              <w:t>稳定发展大黄鱼、海参、鲍鱼、海带、紫菜等区域特色优势养殖品种，积极扶持水产品精深加工业，通过人工培育和增养殖在湾外形成具地方特色的鱼、虾、蟹、参、贝、藻等新产业，开展深远海养殖与海上风电融合发展试点工程，推进“数字渔业”建设工程，打造我国重要的现代渔业示范基地。</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打造全国先进食用菌产业高地：</w:t>
            </w:r>
            <w:r>
              <w:rPr>
                <w:rFonts w:hint="eastAsia" w:ascii="仿宋_GB2312" w:hAnsi="仿宋_GB2312" w:cs="仿宋_GB2312"/>
                <w:sz w:val="24"/>
                <w:szCs w:val="24"/>
              </w:rPr>
              <w:t>开展食用菌标准化生产建设工程，形成银耳、茶树菇、香菇、猴头菇等食用菌核心生产片区。实施食用菌产业链延伸工程，大力开发休闲食品、保健品、营养食品、生物药品、化妆品等系列产品。支持古田食用菌国家现代农产业园建成乡村产业兴旺的支柱性产业示范样板。</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打造闽东精品水果生产供应基地：</w:t>
            </w:r>
            <w:r>
              <w:rPr>
                <w:rFonts w:hint="eastAsia" w:ascii="仿宋_GB2312" w:hAnsi="仿宋_GB2312" w:cs="仿宋_GB2312"/>
                <w:sz w:val="24"/>
                <w:szCs w:val="24"/>
              </w:rPr>
              <w:t>开展优果建设工程，推动水果主产区调整品种结构，提高柑橘、葡萄、水蜜桃、油柰等地方名特优品种的质量，积极培育猕猴桃、百香果等新型水果产业，大力发展设施水果。实施水果加工业与品牌建设工程，加速发展贮藏加工产业，通过广告、新闻媒体、水果节、促销展示会等多种形式，打造宁德水果品牌。推进农产品冷藏库标准化冷链物流基础设施建设，形成一站式冷链物流体系，延长果品应市时间。</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打造全省最具特色的高山生态鲜销菜基地和加工原料生产基地：</w:t>
            </w:r>
            <w:r>
              <w:rPr>
                <w:rFonts w:hint="eastAsia" w:ascii="仿宋_GB2312" w:hAnsi="仿宋_GB2312" w:cs="仿宋_GB2312"/>
                <w:sz w:val="24"/>
                <w:szCs w:val="24"/>
              </w:rPr>
              <w:t>开展蔬菜产业布局优化及产业链延伸工程，加大蔬菜产业标准化、无公害生产基地建设，建立以槟榔芋为主的加工基地。提升采后商品化水平，积极推进蔬菜精深加工，延伸产业链，提高产品附加值。实施蔬菜配套体系完善行动，推进蔬菜物流配套基础设施建设。加大“福鼎槟榔芋”“屏南高山花椰菜”等区域公共品牌培育，推广农超直供对接、产品直销直供模式，大力开拓闽南、浙、沪地区市场，逐步形成南方重要的冬春蔬菜和夏秋高山蔬菜物流中心。</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b/>
                <w:bCs/>
                <w:sz w:val="24"/>
                <w:szCs w:val="24"/>
              </w:rPr>
            </w:pPr>
            <w:r>
              <w:rPr>
                <w:rFonts w:hint="eastAsia" w:ascii="仿宋_GB2312" w:hAnsi="仿宋_GB2312" w:cs="仿宋_GB2312"/>
                <w:b/>
                <w:bCs/>
                <w:sz w:val="24"/>
                <w:szCs w:val="24"/>
              </w:rPr>
              <w:t>打造全省最大的中药材产业基地：</w:t>
            </w:r>
            <w:r>
              <w:rPr>
                <w:rFonts w:hint="eastAsia" w:ascii="仿宋_GB2312" w:hAnsi="仿宋_GB2312" w:cs="仿宋_GB2312"/>
                <w:sz w:val="24"/>
                <w:szCs w:val="24"/>
              </w:rPr>
              <w:t>以柘荣县为核心，重点打造“闽东药城”，开展太子参、黄栀子等道地药材原种保存、传统品种提纯复壮、扩繁和展示示范。开展中药材标准化种植基地建设工程，健全太子参、黄栀子等品种的标准体系。持续开展中药材精深加工工程，深度开发功能食品、药食同源产品。推动屏南县药膳产业配套商业中心、屏南药膳养生养老休闲度假基地建设。</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打造地方特色畜禽产区：</w:t>
            </w:r>
            <w:r>
              <w:rPr>
                <w:rFonts w:hint="eastAsia" w:ascii="仿宋_GB2312" w:hAnsi="仿宋_GB2312" w:cs="仿宋_GB2312"/>
                <w:sz w:val="24"/>
                <w:szCs w:val="24"/>
              </w:rPr>
              <w:t>实施畜牧良种繁育体系建设工程，重点做好闽东山羊、福安水牛、古田黑番鸭等畜禽品种保护，力争培育形成具有闽东特色的“山地型生态畜牧业”。建设动物疫情防控体系，重点实施动物疫病预防与控制中心生物安全实验室、乡镇兽医站、动物疫情测报站等项目。开展畜牧业产业化、绿色化发展示范工程。</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打造闽东特色林竹花卉产业集群：</w:t>
            </w:r>
            <w:r>
              <w:rPr>
                <w:rFonts w:hint="eastAsia" w:ascii="仿宋_GB2312" w:hAnsi="仿宋_GB2312" w:cs="仿宋_GB2312"/>
                <w:sz w:val="24"/>
                <w:szCs w:val="24"/>
              </w:rPr>
              <w:t>实施绿色富民工程，重点建设毛竹丰产林示范片，大力发展笋竹产品深加工，逐步发展油茶等木本粮油、名特优经济林和林下经济，改造提升林产加工业。持续实施省市花卉产业发展项目，加大设施花卉示范基地建设，着力发展鲜切花、盆栽植物、观赏苗木、食用药用花卉等特色名优产品，重点推进屏南、周宁等县高山冷凉花卉发展，加大霞浦盆景的研发创新力度，加快培育花卉产业集群。</w:t>
            </w:r>
          </w:p>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仿宋_GB2312" w:cs="仿宋_GB2312"/>
                <w:sz w:val="24"/>
                <w:szCs w:val="24"/>
              </w:rPr>
            </w:pPr>
            <w:r>
              <w:rPr>
                <w:rFonts w:hint="eastAsia" w:ascii="仿宋_GB2312" w:hAnsi="仿宋_GB2312" w:cs="仿宋_GB2312"/>
                <w:b/>
                <w:bCs/>
                <w:sz w:val="24"/>
                <w:szCs w:val="24"/>
              </w:rPr>
              <w:t>打造宁德乡村旅游品牌：</w:t>
            </w:r>
            <w:r>
              <w:rPr>
                <w:rFonts w:hint="eastAsia" w:ascii="仿宋_GB2312" w:hAnsi="仿宋_GB2312" w:cs="仿宋_GB2312"/>
                <w:sz w:val="24"/>
                <w:szCs w:val="24"/>
              </w:rPr>
              <w:t>开展“五强堡垒、</w:t>
            </w:r>
            <w:r>
              <w:rPr>
                <w:rFonts w:ascii="仿宋_GB2312" w:hAnsi="仿宋_GB2312" w:cs="仿宋_GB2312"/>
                <w:sz w:val="24"/>
                <w:szCs w:val="24"/>
              </w:rPr>
              <w:t>3A乡村”创建活动，</w:t>
            </w:r>
            <w:r>
              <w:rPr>
                <w:rFonts w:hint="eastAsia" w:ascii="仿宋_GB2312" w:hAnsi="仿宋_GB2312" w:cs="仿宋_GB2312"/>
                <w:sz w:val="24"/>
                <w:szCs w:val="24"/>
              </w:rPr>
              <w:t>深入挖掘乡村旅游文化内涵，完善乡村旅游基础设施和服务体系，全面实施农旅、茶旅、海旅等“</w:t>
            </w:r>
            <w:r>
              <w:rPr>
                <w:rFonts w:hint="eastAsia" w:ascii="仿宋_GB2312" w:hAnsi="仿宋_GB2312" w:cs="仿宋_GB2312"/>
                <w:sz w:val="24"/>
                <w:szCs w:val="24"/>
                <w:lang w:val="en-US" w:eastAsia="zh-CN"/>
              </w:rPr>
              <w:t>+</w:t>
            </w:r>
            <w:r>
              <w:rPr>
                <w:rFonts w:hint="eastAsia" w:ascii="仿宋_GB2312" w:hAnsi="仿宋_GB2312" w:cs="仿宋_GB2312"/>
                <w:sz w:val="24"/>
                <w:szCs w:val="24"/>
              </w:rPr>
              <w:t>旅游”产业融合模式，积极培育一批金牌旅游村、旅游小镇、休闲观光园区、森林步道、气象气候景观、康养基地以及森林人家等乡村旅游品牌。</w:t>
            </w:r>
          </w:p>
        </w:tc>
      </w:tr>
    </w:tbl>
    <w:p>
      <w:pPr>
        <w:pageBreakBefore w:val="0"/>
        <w:kinsoku/>
        <w:wordWrap/>
        <w:overflowPunct/>
        <w:topLinePunct w:val="0"/>
        <w:autoSpaceDE/>
        <w:autoSpaceDN/>
        <w:bidi w:val="0"/>
        <w:spacing w:line="600" w:lineRule="exact"/>
        <w:ind w:firstLine="600"/>
        <w:textAlignment w:val="auto"/>
      </w:pP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cs="楷体"/>
                <w:szCs w:val="30"/>
              </w:rPr>
            </w:pPr>
            <w:r>
              <w:rPr>
                <w:rFonts w:hint="eastAsia" w:ascii="仿宋_GB2312" w:hAnsi="楷体" w:cs="楷体"/>
                <w:b/>
                <w:bCs/>
                <w:szCs w:val="30"/>
              </w:rPr>
              <w:t>专栏7</w:t>
            </w:r>
            <w:r>
              <w:rPr>
                <w:rFonts w:ascii="仿宋_GB2312" w:hAnsi="楷体" w:cs="楷体"/>
                <w:b/>
                <w:bCs/>
                <w:szCs w:val="30"/>
              </w:rPr>
              <w:t>-3</w:t>
            </w:r>
            <w:r>
              <w:rPr>
                <w:rFonts w:hint="eastAsia" w:ascii="仿宋_GB2312" w:hAnsi="楷体" w:cs="楷体"/>
                <w:b/>
                <w:bCs/>
                <w:szCs w:val="30"/>
              </w:rPr>
              <w:t>：粮食安全保障能力提升工程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仿宋_GB2312" w:cs="仿宋_GB2312"/>
                <w:sz w:val="24"/>
                <w:szCs w:val="24"/>
              </w:rPr>
            </w:pPr>
            <w:r>
              <w:rPr>
                <w:rFonts w:hint="eastAsia" w:ascii="仿宋_GB2312" w:hAnsi="仿宋_GB2312" w:cs="仿宋_GB2312"/>
                <w:sz w:val="24"/>
                <w:szCs w:val="24"/>
              </w:rPr>
              <w:t>实施最严格的耕地保护制度，深入实施藏粮于地、藏粮于技战略，坚决遏制“非农化”、防止“非粮化”。积极提升现有耕地地力、改进农田水利设施、强化防灾抗灾能力，实施高标准农田建设工程，推进水稻生产功能区建设。推广粮食关键增产技术，实施粮食绿色高质高效行动，推动粮食生产提质增产。开展粮食节约行动。</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546" w:name="_Toc10970"/>
      <w:bookmarkStart w:id="547" w:name="_Toc29557"/>
      <w:bookmarkStart w:id="548" w:name="_Toc32458"/>
      <w:bookmarkStart w:id="549" w:name="_Toc3777"/>
      <w:bookmarkStart w:id="550" w:name="_Toc12136"/>
      <w:bookmarkStart w:id="551" w:name="_Toc12048"/>
      <w:bookmarkStart w:id="552" w:name="_Toc13648"/>
      <w:bookmarkStart w:id="553" w:name="_Toc13758"/>
      <w:bookmarkStart w:id="554" w:name="_Toc2558"/>
      <w:bookmarkStart w:id="555" w:name="_Toc20464"/>
      <w:bookmarkStart w:id="556" w:name="_Toc22978"/>
      <w:bookmarkStart w:id="557" w:name="_Toc16631"/>
      <w:bookmarkStart w:id="558" w:name="_Toc61117369"/>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第二节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提升乡村民生福祉水平</w:t>
      </w:r>
      <w:bookmarkEnd w:id="546"/>
      <w:bookmarkEnd w:id="547"/>
      <w:bookmarkEnd w:id="548"/>
      <w:bookmarkEnd w:id="549"/>
      <w:bookmarkEnd w:id="550"/>
      <w:bookmarkEnd w:id="551"/>
      <w:bookmarkEnd w:id="552"/>
      <w:bookmarkEnd w:id="553"/>
      <w:bookmarkEnd w:id="554"/>
      <w:bookmarkEnd w:id="555"/>
      <w:bookmarkEnd w:id="556"/>
      <w:bookmarkEnd w:id="557"/>
      <w:bookmarkEnd w:id="558"/>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坚持以生活富裕为根本，抓</w:t>
      </w:r>
      <w:r>
        <w:rPr>
          <w:rFonts w:hint="eastAsia"/>
          <w:lang w:eastAsia="zh-CN"/>
        </w:rPr>
        <w:t>“</w:t>
      </w:r>
      <w:r>
        <w:rPr>
          <w:rFonts w:hint="eastAsia"/>
        </w:rPr>
        <w:t>六保</w:t>
      </w:r>
      <w:r>
        <w:rPr>
          <w:rFonts w:hint="eastAsia"/>
          <w:lang w:eastAsia="zh-CN"/>
        </w:rPr>
        <w:t>”</w:t>
      </w:r>
      <w:r>
        <w:rPr>
          <w:rFonts w:hint="eastAsia"/>
        </w:rPr>
        <w:t>促</w:t>
      </w:r>
      <w:r>
        <w:rPr>
          <w:rFonts w:hint="eastAsia"/>
          <w:lang w:eastAsia="zh-CN"/>
        </w:rPr>
        <w:t>“</w:t>
      </w:r>
      <w:r>
        <w:rPr>
          <w:rFonts w:hint="eastAsia"/>
        </w:rPr>
        <w:t>六稳</w:t>
      </w:r>
      <w:r>
        <w:rPr>
          <w:rFonts w:hint="eastAsia"/>
          <w:lang w:eastAsia="zh-CN"/>
        </w:rPr>
        <w:t>”</w:t>
      </w:r>
      <w:r>
        <w:rPr>
          <w:rFonts w:hint="eastAsia"/>
        </w:rPr>
        <w:t>，实现巩固拓展脱贫攻坚成果与乡村振兴有效衔接，加快推进农村基础设施建设，拓展农民增收致富渠道，加强乡村文明建设，不断提高乡村民众幸福感和获得感。</w:t>
      </w:r>
    </w:p>
    <w:p>
      <w:pPr>
        <w:pStyle w:val="5"/>
        <w:pageBreakBefore w:val="0"/>
        <w:kinsoku/>
        <w:wordWrap/>
        <w:overflowPunct/>
        <w:topLinePunct w:val="0"/>
        <w:autoSpaceDE/>
        <w:autoSpaceDN/>
        <w:bidi w:val="0"/>
        <w:spacing w:line="600" w:lineRule="exact"/>
        <w:ind w:firstLine="602"/>
        <w:textAlignment w:val="auto"/>
      </w:pPr>
      <w:r>
        <w:rPr>
          <w:rFonts w:hint="eastAsia"/>
        </w:rPr>
        <w:t>一、巩固拓展脱贫攻坚成果</w:t>
      </w:r>
    </w:p>
    <w:p>
      <w:pPr>
        <w:pageBreakBefore w:val="0"/>
        <w:kinsoku/>
        <w:wordWrap/>
        <w:overflowPunct/>
        <w:topLinePunct w:val="0"/>
        <w:autoSpaceDE/>
        <w:autoSpaceDN/>
        <w:bidi w:val="0"/>
        <w:spacing w:line="600" w:lineRule="exact"/>
        <w:ind w:firstLine="600"/>
        <w:textAlignment w:val="auto"/>
      </w:pPr>
      <w:r>
        <w:rPr>
          <w:rFonts w:hint="eastAsia"/>
        </w:rPr>
        <w:t>健全防止返贫动态监测和帮扶机制，对易返贫致贫人口实施常态化监测，继续精准施策。健全农村社会保险和救助机制，落实产业扶贫保险政策。持续做好易地扶贫搬迁后续帮扶，推动特色产业可持续发展，推进乡村振兴试点示范和产业薄弱村建设，实现巩固拓展脱贫攻坚成果与乡村振兴有效衔接，扎牢全面实施乡村振兴战略的基础。加大对老区项目和资金扶持力度，加强老区村建设。在政策、资金、人才等方面加强对民族乡村振兴的支持，切实推动民族乡村加快发展，繁荣民族乡村经济。</w:t>
      </w:r>
    </w:p>
    <w:p>
      <w:pPr>
        <w:pStyle w:val="5"/>
        <w:pageBreakBefore w:val="0"/>
        <w:kinsoku/>
        <w:wordWrap/>
        <w:overflowPunct/>
        <w:topLinePunct w:val="0"/>
        <w:autoSpaceDE/>
        <w:autoSpaceDN/>
        <w:bidi w:val="0"/>
        <w:spacing w:line="600" w:lineRule="exact"/>
        <w:ind w:firstLine="602"/>
        <w:textAlignment w:val="auto"/>
      </w:pPr>
      <w:r>
        <w:rPr>
          <w:rFonts w:hint="eastAsia"/>
        </w:rPr>
        <w:t>二、推进农村基础设施建设</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推动“四好农村路”</w:t>
      </w:r>
      <w:r>
        <w:rPr>
          <w:rFonts w:hint="eastAsia" w:ascii="仿宋_GB2312"/>
          <w:lang w:eastAsia="zh-CN"/>
        </w:rPr>
        <w:t>高质量发展</w:t>
      </w:r>
      <w:r>
        <w:rPr>
          <w:rFonts w:hint="eastAsia" w:ascii="仿宋_GB2312"/>
        </w:rPr>
        <w:t>，重点推进县道“四</w:t>
      </w:r>
      <w:r>
        <w:rPr>
          <w:rFonts w:hint="eastAsia" w:ascii="仿宋_GB2312"/>
          <w:lang w:eastAsia="zh-CN"/>
        </w:rPr>
        <w:t>晋</w:t>
      </w:r>
      <w:r>
        <w:rPr>
          <w:rFonts w:hint="eastAsia" w:ascii="仿宋_GB2312"/>
        </w:rPr>
        <w:t>三”、乡道“单改双”</w:t>
      </w:r>
      <w:r>
        <w:rPr>
          <w:rFonts w:hint="eastAsia" w:ascii="仿宋_GB2312"/>
          <w:lang w:eastAsia="zh-CN"/>
        </w:rPr>
        <w:t>工程</w:t>
      </w:r>
      <w:r>
        <w:rPr>
          <w:rFonts w:hint="eastAsia" w:ascii="仿宋_GB2312"/>
        </w:rPr>
        <w:t>。推动“多站合一、一点多能”的乡镇综合运输服务站建设，完善农村客运网络。推进农产品冷链物流乡村站点建设，构建县、乡、村三级一体化的物流配送体系。积极落实数字乡村发展战略，推进寿宁县国家级数字乡村试点工作。促进农村宽带通信网、移动互联网、数字电视网和下一代互联网发展。深化农村4G普及程度，推动5G创新应用。加快推进高效节水灌溉工程建设，提升灌区骨干灌排工程运行安全。推广福鼎市城乡供水一体化试点经验，持续推进农村</w:t>
      </w:r>
      <w:r>
        <w:rPr>
          <w:rFonts w:hint="eastAsia" w:ascii="仿宋_GB2312"/>
          <w:lang w:eastAsia="zh-CN"/>
        </w:rPr>
        <w:t>供水保障</w:t>
      </w:r>
      <w:r>
        <w:rPr>
          <w:rFonts w:hint="eastAsia" w:ascii="仿宋_GB2312"/>
        </w:rPr>
        <w:t>工程。大力推动以电力为核心的乡村能源革命，加快农村主干电网、岛屿电网改建进度，在重点村积极开展乡村电气化示范项目建设。</w:t>
      </w:r>
    </w:p>
    <w:p>
      <w:pPr>
        <w:pStyle w:val="5"/>
        <w:pageBreakBefore w:val="0"/>
        <w:widowControl w:val="0"/>
        <w:kinsoku/>
        <w:wordWrap/>
        <w:overflowPunct/>
        <w:topLinePunct w:val="0"/>
        <w:autoSpaceDE/>
        <w:autoSpaceDN/>
        <w:bidi w:val="0"/>
        <w:snapToGrid/>
        <w:spacing w:line="640" w:lineRule="exact"/>
        <w:ind w:firstLine="602"/>
        <w:textAlignment w:val="auto"/>
      </w:pPr>
      <w:r>
        <w:rPr>
          <w:rFonts w:hint="eastAsia"/>
        </w:rPr>
        <w:t>三、拓展农民增收致富渠道</w:t>
      </w:r>
    </w:p>
    <w:p>
      <w:pPr>
        <w:pageBreakBefore w:val="0"/>
        <w:widowControl w:val="0"/>
        <w:kinsoku/>
        <w:wordWrap/>
        <w:overflowPunct/>
        <w:topLinePunct w:val="0"/>
        <w:autoSpaceDE/>
        <w:autoSpaceDN/>
        <w:bidi w:val="0"/>
        <w:snapToGrid/>
        <w:spacing w:line="640" w:lineRule="exact"/>
        <w:ind w:firstLine="600"/>
        <w:textAlignment w:val="auto"/>
        <w:rPr>
          <w:rFonts w:hint="eastAsia" w:ascii="仿宋_GB2312"/>
        </w:rPr>
      </w:pPr>
      <w:r>
        <w:rPr>
          <w:rFonts w:hint="eastAsia" w:ascii="仿宋_GB2312"/>
        </w:rPr>
        <w:t>因地制宜发展“8+1”特色产业，推动农产品精深加工产业发展，通过延长产业链、提升价值链促进增收。提高气候资源开发利用水平，开展农产品气候品质认证。推进农村电子商务第三方服务平台建设，逐步建立“互联网+冷链物流”销售服务体系，推进古田、福安等“互联网+”农产品出村进城工程试点县建设。鼓励发展农旅结合、茶旅结合、海旅结合、森旅结合等新业态，大力扶持屏南、霞浦等地休闲民宿产业，积极探索农村资产资本化。完善农村经营权流转服务，增加农民经营权流转收入。</w:t>
      </w:r>
    </w:p>
    <w:p>
      <w:pPr>
        <w:pStyle w:val="4"/>
        <w:pageBreakBefore w:val="0"/>
        <w:widowControl w:val="0"/>
        <w:kinsoku/>
        <w:wordWrap/>
        <w:overflowPunct/>
        <w:topLinePunct w:val="0"/>
        <w:autoSpaceDE/>
        <w:autoSpaceDN/>
        <w:bidi w:val="0"/>
        <w:snapToGrid/>
        <w:spacing w:beforeLines="0" w:afterLines="0" w:line="640" w:lineRule="exact"/>
        <w:ind w:firstLine="0" w:firstLineChars="0"/>
        <w:textAlignment w:val="auto"/>
        <w:rPr>
          <w:rFonts w:hint="eastAsia" w:ascii="楷体" w:hAnsi="楷体" w:eastAsia="楷体"/>
          <w:sz w:val="32"/>
          <w:szCs w:val="36"/>
        </w:rPr>
      </w:pPr>
      <w:bookmarkStart w:id="559" w:name="_Toc2507"/>
      <w:bookmarkStart w:id="560" w:name="_Toc61117370"/>
      <w:bookmarkStart w:id="561" w:name="_Toc736"/>
      <w:bookmarkStart w:id="562" w:name="_Toc19162"/>
      <w:bookmarkStart w:id="563" w:name="_Toc20111"/>
      <w:bookmarkStart w:id="564" w:name="_Toc17253"/>
      <w:bookmarkStart w:id="565" w:name="_Toc24574"/>
      <w:bookmarkStart w:id="566" w:name="_Toc27278"/>
      <w:bookmarkStart w:id="567" w:name="_Toc15169"/>
      <w:bookmarkStart w:id="568" w:name="_Toc3434"/>
      <w:bookmarkStart w:id="569" w:name="_Toc1686"/>
      <w:bookmarkStart w:id="570" w:name="_Toc29629"/>
      <w:bookmarkStart w:id="571" w:name="_Toc31806"/>
    </w:p>
    <w:p>
      <w:pPr>
        <w:pStyle w:val="4"/>
        <w:pageBreakBefore w:val="0"/>
        <w:widowControl w:val="0"/>
        <w:numPr>
          <w:ilvl w:val="0"/>
          <w:numId w:val="6"/>
        </w:numPr>
        <w:kinsoku/>
        <w:wordWrap/>
        <w:overflowPunct/>
        <w:topLinePunct w:val="0"/>
        <w:autoSpaceDE/>
        <w:autoSpaceDN/>
        <w:bidi w:val="0"/>
        <w:snapToGrid/>
        <w:spacing w:beforeLines="0" w:afterLines="0" w:line="640" w:lineRule="exact"/>
        <w:ind w:firstLine="0" w:firstLineChars="0"/>
        <w:textAlignment w:val="auto"/>
        <w:rPr>
          <w:rFonts w:hint="eastAsia" w:ascii="楷体" w:hAnsi="楷体" w:eastAsia="楷体"/>
          <w:sz w:val="32"/>
          <w:szCs w:val="36"/>
        </w:rPr>
      </w:pPr>
      <w:r>
        <w:rPr>
          <w:rFonts w:ascii="楷体" w:hAnsi="楷体" w:eastAsia="楷体"/>
          <w:sz w:val="32"/>
          <w:szCs w:val="36"/>
        </w:rPr>
        <w:t xml:space="preserve"> </w:t>
      </w:r>
      <w:r>
        <w:rPr>
          <w:rFonts w:hint="eastAsia" w:ascii="楷体" w:hAnsi="楷体" w:eastAsia="楷体"/>
          <w:sz w:val="32"/>
          <w:szCs w:val="36"/>
        </w:rPr>
        <w:t>打造生态宜居绿盈乡村</w:t>
      </w:r>
      <w:bookmarkEnd w:id="559"/>
      <w:bookmarkEnd w:id="560"/>
      <w:bookmarkEnd w:id="561"/>
      <w:bookmarkEnd w:id="562"/>
      <w:bookmarkEnd w:id="563"/>
      <w:bookmarkEnd w:id="564"/>
      <w:bookmarkEnd w:id="565"/>
      <w:bookmarkEnd w:id="566"/>
      <w:bookmarkEnd w:id="567"/>
      <w:bookmarkEnd w:id="568"/>
      <w:bookmarkEnd w:id="569"/>
      <w:bookmarkEnd w:id="570"/>
      <w:bookmarkEnd w:id="571"/>
    </w:p>
    <w:p>
      <w:pPr>
        <w:pageBreakBefore w:val="0"/>
        <w:widowControl w:val="0"/>
        <w:numPr>
          <w:ilvl w:val="0"/>
          <w:numId w:val="0"/>
        </w:numPr>
        <w:kinsoku/>
        <w:wordWrap/>
        <w:overflowPunct/>
        <w:topLinePunct w:val="0"/>
        <w:autoSpaceDE/>
        <w:autoSpaceDN/>
        <w:bidi w:val="0"/>
        <w:snapToGrid/>
        <w:spacing w:line="640" w:lineRule="exact"/>
        <w:textAlignment w:val="auto"/>
      </w:pPr>
    </w:p>
    <w:p>
      <w:pPr>
        <w:pageBreakBefore w:val="0"/>
        <w:widowControl w:val="0"/>
        <w:kinsoku/>
        <w:wordWrap/>
        <w:overflowPunct/>
        <w:topLinePunct w:val="0"/>
        <w:autoSpaceDE/>
        <w:autoSpaceDN/>
        <w:bidi w:val="0"/>
        <w:snapToGrid/>
        <w:spacing w:line="640" w:lineRule="exact"/>
        <w:ind w:firstLine="600"/>
        <w:textAlignment w:val="auto"/>
        <w:rPr>
          <w:rFonts w:hint="eastAsia" w:ascii="仿宋_GB2312"/>
        </w:rPr>
      </w:pPr>
      <w:r>
        <w:rPr>
          <w:rFonts w:hint="eastAsia" w:ascii="仿宋_GB2312"/>
        </w:rPr>
        <w:t>牢固树立“绿水青山就是金山银山”的理念，推动农村产业绿色发展，持续改善农村人居环境，严格落实乡村生态保护与修复，建设生态宜居绿盈乡村，让良好生态成为乡村振兴的支撑点。力争到2025年全市“绿盈乡村”占比达到85%以上。</w:t>
      </w:r>
    </w:p>
    <w:p>
      <w:pPr>
        <w:pStyle w:val="5"/>
        <w:pageBreakBefore w:val="0"/>
        <w:widowControl w:val="0"/>
        <w:kinsoku/>
        <w:wordWrap/>
        <w:overflowPunct/>
        <w:topLinePunct w:val="0"/>
        <w:autoSpaceDE/>
        <w:autoSpaceDN/>
        <w:bidi w:val="0"/>
        <w:snapToGrid/>
        <w:spacing w:line="640" w:lineRule="exact"/>
        <w:ind w:firstLine="602"/>
        <w:textAlignment w:val="auto"/>
      </w:pPr>
      <w:r>
        <w:rPr>
          <w:rFonts w:hint="eastAsia"/>
        </w:rPr>
        <w:t>一、推进农村产业绿色发展</w:t>
      </w:r>
    </w:p>
    <w:p>
      <w:pPr>
        <w:pageBreakBefore w:val="0"/>
        <w:widowControl w:val="0"/>
        <w:kinsoku/>
        <w:wordWrap/>
        <w:overflowPunct/>
        <w:topLinePunct w:val="0"/>
        <w:autoSpaceDE/>
        <w:autoSpaceDN/>
        <w:bidi w:val="0"/>
        <w:snapToGrid/>
        <w:spacing w:line="640" w:lineRule="exact"/>
        <w:ind w:firstLine="600"/>
        <w:textAlignment w:val="auto"/>
        <w:rPr>
          <w:rFonts w:hint="eastAsia" w:eastAsia="仿宋_GB2312"/>
          <w:lang w:eastAsia="zh-CN"/>
        </w:rPr>
      </w:pPr>
      <w:r>
        <w:rPr>
          <w:rFonts w:hint="eastAsia"/>
        </w:rPr>
        <w:t>推进畜禽养殖生产清洁化和产业模式生态化，建立一批有机肥替代、绿色优质的农产品生产基地。推进大规模养殖场粪污治理设施建设，建立健全畜禽粪污处理利用标准体系。积极发展大水面生态渔业、深远海养殖等新型水产健康养殖模式。以茶叶、水产、食用菌等领域为重点，推进绿色食品、有机农产品、地理标志农产品认证与管理。严控河流、湖泊投饵网箱养殖，持续推动生态净化池、人工湿地等水产养殖尾水处理设施建设。持续实施化肥农药减量增效行动，降低土壤环境压力。</w:t>
      </w:r>
      <w:r>
        <w:rPr>
          <w:rFonts w:hint="eastAsia"/>
          <w:lang w:eastAsia="zh-CN"/>
        </w:rPr>
        <w:t>推进农业生产防灾减灾工程建设。</w:t>
      </w:r>
    </w:p>
    <w:p>
      <w:pPr>
        <w:pStyle w:val="5"/>
        <w:pageBreakBefore w:val="0"/>
        <w:widowControl w:val="0"/>
        <w:kinsoku/>
        <w:wordWrap/>
        <w:overflowPunct/>
        <w:topLinePunct w:val="0"/>
        <w:autoSpaceDE/>
        <w:autoSpaceDN/>
        <w:bidi w:val="0"/>
        <w:snapToGrid/>
        <w:spacing w:line="640" w:lineRule="exact"/>
        <w:ind w:firstLine="602"/>
        <w:textAlignment w:val="auto"/>
      </w:pPr>
      <w:r>
        <w:rPr>
          <w:rFonts w:hint="eastAsia"/>
        </w:rPr>
        <w:t>二、强化农村人居环境整治</w:t>
      </w:r>
    </w:p>
    <w:p>
      <w:pPr>
        <w:pageBreakBefore w:val="0"/>
        <w:widowControl w:val="0"/>
        <w:kinsoku/>
        <w:wordWrap/>
        <w:overflowPunct/>
        <w:topLinePunct w:val="0"/>
        <w:autoSpaceDE/>
        <w:autoSpaceDN/>
        <w:bidi w:val="0"/>
        <w:snapToGrid/>
        <w:spacing w:line="640" w:lineRule="exact"/>
        <w:ind w:firstLine="600"/>
        <w:textAlignment w:val="auto"/>
      </w:pPr>
      <w:r>
        <w:rPr>
          <w:rFonts w:hint="eastAsia"/>
        </w:rPr>
        <w:t>统筹推进村庄规划建设，推动村庄“有规划”向“好规划”转变。实施农村人居环境整治提升五年行动，推动陆海统筹一体化垃圾治理、农村生活垃圾干湿分类和资源化利用。进一步推进农村厕所粪污、生活垃圾污水、农业生产废弃物系统治理，实现农村改水改厕自然村全覆盖。强化村庄建筑风貌和质量管控。持续推进乡村特色景观带建设，开展路旁、水旁、宅旁、村旁“四旁”乡村绿化行动，把传承保护历史文化和引入现代元素结合起来，参照“两高一线”沿线环境整治标准，全域推进农村人居环境整治。</w:t>
      </w:r>
    </w:p>
    <w:p>
      <w:pPr>
        <w:pStyle w:val="5"/>
        <w:pageBreakBefore w:val="0"/>
        <w:widowControl w:val="0"/>
        <w:kinsoku/>
        <w:wordWrap/>
        <w:overflowPunct/>
        <w:topLinePunct w:val="0"/>
        <w:autoSpaceDE/>
        <w:autoSpaceDN/>
        <w:bidi w:val="0"/>
        <w:snapToGrid/>
        <w:spacing w:line="640" w:lineRule="exact"/>
        <w:ind w:firstLine="602"/>
        <w:textAlignment w:val="auto"/>
      </w:pPr>
      <w:r>
        <w:rPr>
          <w:rFonts w:hint="eastAsia"/>
        </w:rPr>
        <w:t>三、推动乡村生态保护与修复</w:t>
      </w:r>
    </w:p>
    <w:p>
      <w:pPr>
        <w:pageBreakBefore w:val="0"/>
        <w:widowControl w:val="0"/>
        <w:kinsoku/>
        <w:wordWrap/>
        <w:overflowPunct/>
        <w:topLinePunct w:val="0"/>
        <w:autoSpaceDE/>
        <w:autoSpaceDN/>
        <w:bidi w:val="0"/>
        <w:snapToGrid/>
        <w:spacing w:line="640" w:lineRule="exact"/>
        <w:ind w:firstLine="600"/>
        <w:textAlignment w:val="auto"/>
      </w:pPr>
      <w:r>
        <w:rPr>
          <w:rFonts w:hint="eastAsia"/>
        </w:rPr>
        <w:t>大力推进育山护山工程，加强天然林保护站点建设，积极推动国家森林乡村创建工作。开展乡村重点流域环境综合治理工程，全面推进小流域及农村水环境整治计划，稳步提升小流域及农村水环境质量。持续实施水土流失综合治理工程，运用新工艺、新技术推动治理创新，预防和减轻水土流失。推动农村土地综合整治工程，实施宜耕后备土地资源开发、土地复垦等项目。建立健全农村污染联防联控机制，强化畜禽养殖业、种植业、工业园区污染防控治理。</w:t>
      </w:r>
    </w:p>
    <w:p>
      <w:pPr>
        <w:pStyle w:val="4"/>
        <w:pageBreakBefore w:val="0"/>
        <w:widowControl w:val="0"/>
        <w:kinsoku/>
        <w:wordWrap/>
        <w:overflowPunct/>
        <w:topLinePunct w:val="0"/>
        <w:autoSpaceDE/>
        <w:autoSpaceDN/>
        <w:bidi w:val="0"/>
        <w:snapToGrid/>
        <w:spacing w:beforeLines="0" w:afterLines="0" w:line="600" w:lineRule="exact"/>
        <w:ind w:firstLine="0" w:firstLineChars="0"/>
        <w:textAlignment w:val="auto"/>
        <w:rPr>
          <w:rFonts w:hint="eastAsia" w:ascii="楷体" w:hAnsi="楷体" w:eastAsia="楷体"/>
          <w:sz w:val="32"/>
          <w:szCs w:val="36"/>
        </w:rPr>
      </w:pPr>
      <w:bookmarkStart w:id="572" w:name="_Toc11305"/>
      <w:bookmarkStart w:id="573" w:name="_Toc30027"/>
      <w:bookmarkStart w:id="574" w:name="_Toc4275"/>
      <w:bookmarkStart w:id="575" w:name="_Toc28108"/>
      <w:bookmarkStart w:id="576" w:name="_Toc19537"/>
      <w:bookmarkStart w:id="577" w:name="_Toc21573"/>
      <w:bookmarkStart w:id="578" w:name="_Toc61117371"/>
      <w:bookmarkStart w:id="579" w:name="_Toc9494"/>
      <w:bookmarkStart w:id="580" w:name="_Toc1654"/>
      <w:bookmarkStart w:id="581" w:name="_Toc6707"/>
      <w:bookmarkStart w:id="582" w:name="_Toc12341"/>
      <w:bookmarkStart w:id="583" w:name="_Toc32284"/>
      <w:bookmarkStart w:id="584" w:name="_Toc27596"/>
    </w:p>
    <w:p>
      <w:pPr>
        <w:pStyle w:val="4"/>
        <w:pageBreakBefore w:val="0"/>
        <w:widowControl w:val="0"/>
        <w:kinsoku/>
        <w:wordWrap/>
        <w:overflowPunct/>
        <w:topLinePunct w:val="0"/>
        <w:autoSpaceDE/>
        <w:autoSpaceDN/>
        <w:bidi w:val="0"/>
        <w:snapToGrid/>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第四节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深化农业农村改革</w:t>
      </w:r>
      <w:bookmarkEnd w:id="572"/>
      <w:bookmarkEnd w:id="573"/>
      <w:bookmarkEnd w:id="574"/>
      <w:bookmarkEnd w:id="575"/>
      <w:bookmarkEnd w:id="576"/>
      <w:bookmarkEnd w:id="577"/>
      <w:bookmarkEnd w:id="578"/>
      <w:bookmarkEnd w:id="579"/>
      <w:bookmarkEnd w:id="580"/>
      <w:bookmarkEnd w:id="581"/>
      <w:bookmarkEnd w:id="582"/>
      <w:bookmarkEnd w:id="583"/>
      <w:bookmarkEnd w:id="584"/>
    </w:p>
    <w:p>
      <w:pPr>
        <w:pageBreakBefore w:val="0"/>
        <w:widowControl w:val="0"/>
        <w:kinsoku/>
        <w:wordWrap/>
        <w:overflowPunct/>
        <w:topLinePunct w:val="0"/>
        <w:autoSpaceDE/>
        <w:autoSpaceDN/>
        <w:bidi w:val="0"/>
        <w:snapToGrid/>
        <w:spacing w:line="600" w:lineRule="exact"/>
        <w:ind w:firstLine="600"/>
        <w:textAlignment w:val="auto"/>
        <w:rPr>
          <w:rFonts w:hint="eastAsia"/>
        </w:rPr>
      </w:pPr>
    </w:p>
    <w:p>
      <w:pPr>
        <w:pageBreakBefore w:val="0"/>
        <w:widowControl w:val="0"/>
        <w:kinsoku/>
        <w:wordWrap/>
        <w:overflowPunct/>
        <w:topLinePunct w:val="0"/>
        <w:autoSpaceDE/>
        <w:autoSpaceDN/>
        <w:bidi w:val="0"/>
        <w:snapToGrid/>
        <w:spacing w:line="600" w:lineRule="exact"/>
        <w:ind w:firstLine="600"/>
        <w:textAlignment w:val="auto"/>
      </w:pPr>
      <w:r>
        <w:rPr>
          <w:rFonts w:hint="eastAsia"/>
        </w:rPr>
        <w:t>深化农业农村改革成果，加大重点领域和关键环节改革创新力度，强化人才、制度、资金等“三农”投入保障，激发农村资源活力，不断释放改革效能，为乡村振兴注入新动能。</w:t>
      </w:r>
    </w:p>
    <w:p>
      <w:pPr>
        <w:pStyle w:val="5"/>
        <w:pageBreakBefore w:val="0"/>
        <w:widowControl w:val="0"/>
        <w:kinsoku/>
        <w:wordWrap/>
        <w:overflowPunct/>
        <w:topLinePunct w:val="0"/>
        <w:autoSpaceDE/>
        <w:autoSpaceDN/>
        <w:bidi w:val="0"/>
        <w:snapToGrid/>
        <w:spacing w:line="600" w:lineRule="exact"/>
        <w:ind w:firstLine="602"/>
        <w:textAlignment w:val="auto"/>
      </w:pPr>
      <w:r>
        <w:rPr>
          <w:rFonts w:hint="eastAsia"/>
        </w:rPr>
        <w:t>一、强化乡村振兴人才支撑</w:t>
      </w:r>
    </w:p>
    <w:p>
      <w:pPr>
        <w:pageBreakBefore w:val="0"/>
        <w:widowControl w:val="0"/>
        <w:kinsoku/>
        <w:wordWrap/>
        <w:overflowPunct/>
        <w:topLinePunct w:val="0"/>
        <w:autoSpaceDE/>
        <w:autoSpaceDN/>
        <w:bidi w:val="0"/>
        <w:snapToGrid/>
        <w:spacing w:line="600" w:lineRule="exact"/>
        <w:ind w:firstLine="600"/>
        <w:textAlignment w:val="auto"/>
      </w:pPr>
      <w:r>
        <w:rPr>
          <w:rFonts w:hint="eastAsia"/>
        </w:rPr>
        <w:t>大力实施乡村人才“四大工程”，着力引导人才向农村基层一线流动。实施乡村人才集聚工程，加大返乡创业扶持力度，全面落实吸纳就业各项优惠政策，推进标准化人社服务平台建设。实施乡村人才素质提升工程，构建服务型农村职业培训体系，培训基层水利技术、电子商务、林业花卉、渔业水产等乡村实用人才。实施乡村人才精准服务工程，推进“十百千万”专家服务乡村振兴行动计划，选派科技特派员驻乡联村服务。实施乡村人才环境优化工程，提高乡村人才待遇，完善配套服务政策，加大先进典型宣传激励。深入实施“乡村振兴领航计划”，完善乡村振兴指导员常态化选派制度。</w:t>
      </w:r>
    </w:p>
    <w:p>
      <w:pPr>
        <w:pStyle w:val="5"/>
        <w:pageBreakBefore w:val="0"/>
        <w:kinsoku/>
        <w:wordWrap/>
        <w:overflowPunct/>
        <w:topLinePunct w:val="0"/>
        <w:autoSpaceDE/>
        <w:autoSpaceDN/>
        <w:bidi w:val="0"/>
        <w:spacing w:line="600" w:lineRule="exact"/>
        <w:ind w:firstLine="602"/>
        <w:textAlignment w:val="auto"/>
      </w:pPr>
      <w:r>
        <w:rPr>
          <w:rFonts w:hint="eastAsia"/>
        </w:rPr>
        <w:t>二、深入推进农村综合改革</w:t>
      </w:r>
    </w:p>
    <w:p>
      <w:pPr>
        <w:pageBreakBefore w:val="0"/>
        <w:kinsoku/>
        <w:wordWrap/>
        <w:overflowPunct/>
        <w:topLinePunct w:val="0"/>
        <w:autoSpaceDE/>
        <w:autoSpaceDN/>
        <w:bidi w:val="0"/>
        <w:spacing w:line="600" w:lineRule="exact"/>
        <w:ind w:firstLine="600"/>
        <w:textAlignment w:val="auto"/>
      </w:pPr>
      <w:r>
        <w:rPr>
          <w:rFonts w:hint="eastAsia"/>
        </w:rPr>
        <w:t>健全城乡融合发展机制，推动城乡要素平等交换、双向流动。深化农村土地制度改革，巩固农村承包地“三权分置”改革成果。开展农村土地征收制度改革，缩小征地范围，推进农村集体经营性建设用地入市。探索宅基地所有权、资格权、使用权分置实现形式，实施新一轮农村宅基地制度改革。完善农村基本经营制度，培育新型农业经营主体，发展多种形式的适度规模经营。巩固提升林改经验。深化农村集体产权制度改革，围绕“农村资源变资产、资金变股金、农民变股东”的“三变”改革路径，推进农村集体经济发展壮大，促进乡村振兴。</w:t>
      </w:r>
    </w:p>
    <w:p>
      <w:pPr>
        <w:pStyle w:val="5"/>
        <w:pageBreakBefore w:val="0"/>
        <w:kinsoku/>
        <w:wordWrap/>
        <w:overflowPunct/>
        <w:topLinePunct w:val="0"/>
        <w:autoSpaceDE/>
        <w:autoSpaceDN/>
        <w:bidi w:val="0"/>
        <w:spacing w:line="600" w:lineRule="exact"/>
        <w:ind w:firstLine="602"/>
        <w:textAlignment w:val="auto"/>
      </w:pPr>
      <w:r>
        <w:rPr>
          <w:rFonts w:hint="eastAsia"/>
        </w:rPr>
        <w:t>三、畅通乡村振兴投融资渠道</w:t>
      </w:r>
    </w:p>
    <w:p>
      <w:pPr>
        <w:pageBreakBefore w:val="0"/>
        <w:kinsoku/>
        <w:wordWrap/>
        <w:overflowPunct/>
        <w:topLinePunct w:val="0"/>
        <w:autoSpaceDE/>
        <w:autoSpaceDN/>
        <w:bidi w:val="0"/>
        <w:spacing w:line="600" w:lineRule="exact"/>
        <w:ind w:firstLine="600"/>
        <w:textAlignment w:val="auto"/>
      </w:pPr>
      <w:r>
        <w:rPr>
          <w:rFonts w:hint="eastAsia"/>
        </w:rPr>
        <w:t>推动公共财政更大幅度向“三农”倾斜，盘活涉农沉淀资金。通过以奖代补、民办公助、政府购买服务等多种方式，加强对社会资本投资项目的支持力度。大力发展农村普惠金融，</w:t>
      </w:r>
      <w:r>
        <w:rPr>
          <w:rFonts w:hint="eastAsia"/>
          <w:lang w:eastAsia="zh-CN"/>
        </w:rPr>
        <w:t>争取地方政府债券支持农业农村领域建设，</w:t>
      </w:r>
      <w:r>
        <w:rPr>
          <w:rFonts w:hint="eastAsia"/>
        </w:rPr>
        <w:t>探索具有闽东特色的金融服务乡村振兴模式。建立社会资本投入乡村振兴“负面清单”制度，积极构建多元化投入主体。鼓励社会资本与政府设立各类农业农村发展投资基金，允许社会资本参与组建专业化、特色化农民合作社。大力实施村级集体经济“提质强村”行动，全面推行村党支部领办合作社模式，充分发挥闽东时代乡村振兴基金作用，坚持以农村集体资产、资源、资金等要素有效利用为纽带，因地制宜探索资源开发、资产增值、物业租赁等多种</w:t>
      </w:r>
      <w:r>
        <w:rPr>
          <w:rFonts w:hint="eastAsia"/>
          <w:lang w:eastAsia="zh-CN"/>
        </w:rPr>
        <w:t>发展</w:t>
      </w:r>
      <w:r>
        <w:rPr>
          <w:rFonts w:hint="eastAsia"/>
        </w:rPr>
        <w:t>模式。</w:t>
      </w:r>
    </w:p>
    <w:p>
      <w:pPr>
        <w:pageBreakBefore w:val="0"/>
        <w:widowControl/>
        <w:kinsoku/>
        <w:wordWrap/>
        <w:overflowPunct/>
        <w:topLinePunct w:val="0"/>
        <w:autoSpaceDE/>
        <w:autoSpaceDN/>
        <w:bidi w:val="0"/>
        <w:spacing w:line="600" w:lineRule="exact"/>
        <w:ind w:firstLine="0" w:firstLineChars="0"/>
        <w:jc w:val="left"/>
        <w:textAlignment w:val="auto"/>
      </w:pPr>
      <w:r>
        <w:br w:type="page"/>
      </w:r>
    </w:p>
    <w:bookmarkEnd w:id="531"/>
    <w:bookmarkEnd w:id="532"/>
    <w:p>
      <w:pPr>
        <w:pStyle w:val="3"/>
        <w:pageBreakBefore w:val="0"/>
        <w:kinsoku/>
        <w:wordWrap/>
        <w:overflowPunct/>
        <w:topLinePunct w:val="0"/>
        <w:autoSpaceDE/>
        <w:autoSpaceDN/>
        <w:bidi w:val="0"/>
        <w:spacing w:line="600" w:lineRule="exact"/>
        <w:textAlignment w:val="auto"/>
        <w:rPr>
          <w:rFonts w:hint="eastAsia" w:ascii="黑体" w:hAnsi="黑体" w:eastAsia="黑体"/>
          <w:b w:val="0"/>
          <w:bCs w:val="0"/>
          <w:sz w:val="32"/>
          <w:szCs w:val="48"/>
        </w:rPr>
      </w:pPr>
      <w:bookmarkStart w:id="585" w:name="_Toc28493"/>
      <w:bookmarkStart w:id="586" w:name="_Toc61117372"/>
      <w:bookmarkStart w:id="587" w:name="_Toc25355"/>
      <w:bookmarkStart w:id="588" w:name="_Toc11738"/>
      <w:bookmarkStart w:id="589" w:name="_Toc6605"/>
      <w:bookmarkStart w:id="590" w:name="_Toc29034"/>
      <w:bookmarkStart w:id="591" w:name="_Toc1138"/>
      <w:bookmarkStart w:id="592" w:name="_Toc1830"/>
      <w:bookmarkStart w:id="593" w:name="_Toc649"/>
      <w:bookmarkStart w:id="594" w:name="_Toc23822"/>
      <w:bookmarkStart w:id="595" w:name="_Toc22361"/>
    </w:p>
    <w:p>
      <w:pPr>
        <w:pStyle w:val="3"/>
        <w:pageBreakBefore w:val="0"/>
        <w:kinsoku/>
        <w:wordWrap/>
        <w:overflowPunct/>
        <w:topLinePunct w:val="0"/>
        <w:autoSpaceDE/>
        <w:autoSpaceDN/>
        <w:bidi w:val="0"/>
        <w:spacing w:line="600" w:lineRule="exact"/>
        <w:textAlignment w:val="auto"/>
        <w:rPr>
          <w:rFonts w:ascii="黑体" w:hAnsi="黑体" w:eastAsia="黑体"/>
          <w:b w:val="0"/>
          <w:bCs w:val="0"/>
          <w:sz w:val="32"/>
          <w:szCs w:val="48"/>
        </w:rPr>
      </w:pPr>
      <w:r>
        <w:rPr>
          <w:rFonts w:hint="eastAsia" w:ascii="黑体" w:hAnsi="黑体" w:eastAsia="黑体"/>
          <w:b w:val="0"/>
          <w:bCs w:val="0"/>
          <w:sz w:val="32"/>
          <w:szCs w:val="48"/>
        </w:rPr>
        <w:t>第八章</w:t>
      </w:r>
      <w:r>
        <w:rPr>
          <w:rFonts w:ascii="黑体" w:hAnsi="黑体" w:eastAsia="黑体"/>
          <w:b w:val="0"/>
          <w:bCs w:val="0"/>
          <w:sz w:val="32"/>
          <w:szCs w:val="48"/>
        </w:rPr>
        <w:t xml:space="preserve"> </w:t>
      </w:r>
      <w:r>
        <w:rPr>
          <w:rFonts w:hint="eastAsia" w:ascii="黑体" w:hAnsi="黑体" w:eastAsia="黑体"/>
          <w:b w:val="0"/>
          <w:bCs w:val="0"/>
          <w:sz w:val="32"/>
          <w:szCs w:val="48"/>
          <w:lang w:val="en-US" w:eastAsia="zh-CN"/>
        </w:rPr>
        <w:t xml:space="preserve"> </w:t>
      </w:r>
      <w:r>
        <w:rPr>
          <w:rFonts w:hint="eastAsia" w:ascii="黑体" w:hAnsi="黑体" w:eastAsia="黑体"/>
          <w:b w:val="0"/>
          <w:bCs w:val="0"/>
          <w:sz w:val="32"/>
          <w:szCs w:val="48"/>
        </w:rPr>
        <w:t>构筑山海协同发展格局</w:t>
      </w:r>
      <w:bookmarkEnd w:id="585"/>
      <w:bookmarkEnd w:id="586"/>
      <w:bookmarkEnd w:id="587"/>
      <w:bookmarkEnd w:id="588"/>
      <w:bookmarkEnd w:id="589"/>
      <w:bookmarkEnd w:id="590"/>
      <w:bookmarkEnd w:id="591"/>
      <w:bookmarkEnd w:id="592"/>
      <w:bookmarkEnd w:id="593"/>
      <w:bookmarkEnd w:id="594"/>
      <w:bookmarkEnd w:id="595"/>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按照习近平总书记在城市工作会议提出的“城市是加快实现现代化的‘火车头’”和在宁德工作期间提出的“要注重沿海与山区的差异和协作”的要求，坚持沿海与山区联动发展，着力优化市域空间发展格局，突出环三都澳核心引领，提升城市功能品质和综合承载力，加快建设环湾一体、宜业宜居的现代化城市。</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596" w:name="_Toc23222"/>
      <w:bookmarkStart w:id="597" w:name="_Toc26976"/>
      <w:bookmarkStart w:id="598" w:name="_Toc61117373"/>
      <w:bookmarkStart w:id="599" w:name="_Toc24166"/>
      <w:bookmarkStart w:id="600" w:name="_Toc8316"/>
      <w:bookmarkStart w:id="601" w:name="_Toc8561"/>
      <w:bookmarkStart w:id="602" w:name="_Toc8822"/>
      <w:bookmarkStart w:id="603" w:name="_Toc19797"/>
      <w:bookmarkStart w:id="604" w:name="_Toc18568"/>
      <w:bookmarkStart w:id="605" w:name="_Toc19960"/>
      <w:bookmarkStart w:id="606" w:name="_Toc570"/>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第一节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构建国土空间开发保护新格局</w:t>
      </w:r>
      <w:bookmarkEnd w:id="596"/>
      <w:bookmarkEnd w:id="597"/>
      <w:bookmarkEnd w:id="598"/>
      <w:bookmarkEnd w:id="599"/>
      <w:bookmarkEnd w:id="600"/>
      <w:bookmarkEnd w:id="601"/>
      <w:bookmarkEnd w:id="602"/>
      <w:bookmarkEnd w:id="603"/>
      <w:bookmarkEnd w:id="604"/>
      <w:bookmarkEnd w:id="605"/>
      <w:bookmarkEnd w:id="606"/>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坚持陆海统筹理念，做好国土空间规划顶层设计，优化市域空间布局，拓展城市发展空间，谋划新时代国土空间开发保护格局，为高质量发展提供坚实支撑。</w:t>
      </w:r>
    </w:p>
    <w:p>
      <w:pPr>
        <w:pStyle w:val="5"/>
        <w:pageBreakBefore w:val="0"/>
        <w:kinsoku/>
        <w:wordWrap/>
        <w:overflowPunct/>
        <w:topLinePunct w:val="0"/>
        <w:autoSpaceDE/>
        <w:autoSpaceDN/>
        <w:bidi w:val="0"/>
        <w:spacing w:line="600" w:lineRule="exact"/>
        <w:ind w:firstLine="602"/>
        <w:textAlignment w:val="auto"/>
      </w:pPr>
      <w:r>
        <w:rPr>
          <w:rFonts w:hint="eastAsia"/>
        </w:rPr>
        <w:t>一、科学布局“三区三线”</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立足陆海统筹、山海协同、环湾一体、港产城联动，编制实施市县乡三级三类国土空间规划，统筹划定“三条控制线”，逐步形成城市化地区、农产品主产区、生态功能区三类空间，优化重大基础设施、重大生产力和公共资源布局，优先保证主导产业项目要素需求。保护基本农田和生态空间，大力推动农产品生产区增强农业生产能力，支持生态功能区把发展重点放到保护生态环境、提升生态产品上，推动生态功能区的人口逐步有序转移，推进屏南、寿宁、周宁、柘荣等县的天然林资源、防护林体系、野生动植物保护，打通“太姥山</w:t>
      </w:r>
      <w:r>
        <w:rPr>
          <w:rFonts w:ascii="仿宋_GB2312"/>
          <w:szCs w:val="30"/>
        </w:rPr>
        <w:t>-</w:t>
      </w:r>
      <w:r>
        <w:rPr>
          <w:rFonts w:hint="eastAsia" w:ascii="仿宋_GB2312"/>
          <w:szCs w:val="30"/>
        </w:rPr>
        <w:t>白云山</w:t>
      </w:r>
      <w:r>
        <w:rPr>
          <w:rFonts w:ascii="仿宋_GB2312"/>
          <w:szCs w:val="30"/>
        </w:rPr>
        <w:t>-</w:t>
      </w:r>
      <w:r>
        <w:rPr>
          <w:rFonts w:hint="eastAsia" w:ascii="仿宋_GB2312"/>
          <w:szCs w:val="30"/>
        </w:rPr>
        <w:t>鲤鱼溪</w:t>
      </w:r>
      <w:r>
        <w:rPr>
          <w:rFonts w:ascii="仿宋_GB2312"/>
          <w:szCs w:val="30"/>
        </w:rPr>
        <w:t>-</w:t>
      </w:r>
      <w:r>
        <w:rPr>
          <w:rFonts w:hint="eastAsia" w:ascii="仿宋_GB2312"/>
          <w:szCs w:val="30"/>
        </w:rPr>
        <w:t>白水洋”地质公园带，全力构建区域生态安全格局。</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二、优化市域空间开发格局</w:t>
      </w:r>
    </w:p>
    <w:p>
      <w:pPr>
        <w:keepNext w:val="0"/>
        <w:keepLines w:val="0"/>
        <w:pageBreakBefore w:val="0"/>
        <w:widowControl w:val="0"/>
        <w:tabs>
          <w:tab w:val="left" w:pos="720"/>
        </w:tabs>
        <w:kinsoku/>
        <w:wordWrap/>
        <w:overflowPunct/>
        <w:topLinePunct w:val="0"/>
        <w:autoSpaceDE/>
        <w:autoSpaceDN/>
        <w:bidi w:val="0"/>
        <w:adjustRightInd/>
        <w:snapToGrid/>
        <w:spacing w:line="600" w:lineRule="exact"/>
        <w:ind w:firstLine="600"/>
        <w:textAlignment w:val="auto"/>
        <w:rPr>
          <w:rFonts w:ascii="仿宋_GB2312"/>
          <w:szCs w:val="30"/>
        </w:rPr>
      </w:pPr>
      <w:r>
        <w:rPr>
          <w:rFonts w:hint="eastAsia" w:ascii="仿宋_GB2312"/>
          <w:szCs w:val="30"/>
        </w:rPr>
        <w:t>坚持以三都澳为战略核心，统筹推进福宁湾、沙埕湾协同开发，壮大沿海城镇、经济人口密集带，加快湾区同城化建设。依托铁路、高速公路和国省干线等快速交通网络，构建辐射山区五县的经济发展轴，形成以点带面、以线串引、滚动开发的“一核三湾五轴”区域发展总体格局。</w:t>
      </w:r>
    </w:p>
    <w:p>
      <w:pPr>
        <w:keepNext w:val="0"/>
        <w:keepLines w:val="0"/>
        <w:pageBreakBefore w:val="0"/>
        <w:widowControl w:val="0"/>
        <w:tabs>
          <w:tab w:val="left" w:pos="720"/>
        </w:tabs>
        <w:kinsoku/>
        <w:wordWrap/>
        <w:overflowPunct/>
        <w:topLinePunct w:val="0"/>
        <w:autoSpaceDE/>
        <w:autoSpaceDN/>
        <w:bidi w:val="0"/>
        <w:adjustRightInd/>
        <w:snapToGrid/>
        <w:spacing w:line="240" w:lineRule="auto"/>
        <w:ind w:firstLine="198" w:firstLineChars="66"/>
        <w:jc w:val="left"/>
        <w:textAlignment w:val="auto"/>
        <w:rPr>
          <w:rFonts w:eastAsia="仿宋"/>
          <w:bCs/>
          <w:sz w:val="28"/>
          <w:szCs w:val="28"/>
        </w:rPr>
      </w:pPr>
      <w:r>
        <w:drawing>
          <wp:inline distT="0" distB="0" distL="0" distR="0">
            <wp:extent cx="4950460" cy="3658235"/>
            <wp:effectExtent l="0" t="0" r="254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srcRect/>
                    <a:stretch>
                      <a:fillRect/>
                    </a:stretch>
                  </pic:blipFill>
                  <pic:spPr>
                    <a:xfrm>
                      <a:off x="0" y="0"/>
                      <a:ext cx="5024072" cy="371253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ind w:firstLine="0" w:firstLineChars="0"/>
        <w:jc w:val="center"/>
        <w:textAlignment w:val="auto"/>
        <w:rPr>
          <w:rFonts w:ascii="仿宋_GB2312" w:hAnsi="仿宋"/>
          <w:sz w:val="32"/>
          <w:szCs w:val="36"/>
        </w:rPr>
      </w:pPr>
      <w:r>
        <w:rPr>
          <w:rFonts w:hint="eastAsia" w:ascii="仿宋_GB2312" w:hAnsi="仿宋"/>
          <w:b/>
          <w:bCs/>
          <w:sz w:val="32"/>
          <w:szCs w:val="36"/>
        </w:rPr>
        <w:t>图8-1  市域总体发展格局图</w:t>
      </w:r>
    </w:p>
    <w:p>
      <w:pPr>
        <w:pageBreakBefore w:val="0"/>
        <w:tabs>
          <w:tab w:val="left" w:pos="720"/>
        </w:tabs>
        <w:kinsoku/>
        <w:wordWrap/>
        <w:overflowPunct/>
        <w:topLinePunct w:val="0"/>
        <w:autoSpaceDE/>
        <w:autoSpaceDN/>
        <w:bidi w:val="0"/>
        <w:spacing w:line="600" w:lineRule="exact"/>
        <w:ind w:firstLine="602"/>
        <w:textAlignment w:val="auto"/>
        <w:rPr>
          <w:rFonts w:ascii="仿宋_GB2312"/>
          <w:szCs w:val="30"/>
        </w:rPr>
      </w:pPr>
      <w:r>
        <w:rPr>
          <w:rFonts w:hint="eastAsia" w:ascii="仿宋_GB2312"/>
          <w:b/>
          <w:szCs w:val="30"/>
        </w:rPr>
        <w:t>“一核”引领。</w:t>
      </w:r>
      <w:r>
        <w:rPr>
          <w:rFonts w:hint="eastAsia" w:ascii="仿宋_GB2312"/>
          <w:szCs w:val="30"/>
        </w:rPr>
        <w:t>坚持产业、城市、港口、生态、山海“五位一体”联动发展，加快推动四大主导产业延链铸群，集聚总部经济、现代物流、旅游休闲等高端服务功能，加快中心城区“东扩面海、北展南移”，高起点推进三都澳新区建设，适时启动行政区划调整，从更大范围拓展市区发展空间。</w:t>
      </w:r>
    </w:p>
    <w:p>
      <w:pPr>
        <w:pageBreakBefore w:val="0"/>
        <w:tabs>
          <w:tab w:val="left" w:pos="720"/>
        </w:tabs>
        <w:kinsoku/>
        <w:wordWrap/>
        <w:overflowPunct/>
        <w:topLinePunct w:val="0"/>
        <w:autoSpaceDE/>
        <w:autoSpaceDN/>
        <w:bidi w:val="0"/>
        <w:spacing w:line="600" w:lineRule="exact"/>
        <w:ind w:firstLine="602"/>
        <w:textAlignment w:val="auto"/>
        <w:rPr>
          <w:rFonts w:ascii="仿宋_GB2312"/>
          <w:szCs w:val="30"/>
        </w:rPr>
      </w:pPr>
      <w:r>
        <w:rPr>
          <w:rFonts w:hint="eastAsia" w:ascii="仿宋_GB2312"/>
          <w:b/>
          <w:szCs w:val="30"/>
        </w:rPr>
        <w:t>“三湾”协同。</w:t>
      </w:r>
      <w:r>
        <w:rPr>
          <w:rFonts w:hint="eastAsia" w:ascii="仿宋_GB2312"/>
          <w:szCs w:val="30"/>
        </w:rPr>
        <w:t>围绕“抓龙头、铸链条、建集群”，三都澳重点做大锂电新能源、不锈钢新材料、新能源汽车、铜材料四个千亿产业集群，大力支持清洁能源、新材料、生物医药、海洋高新、电子信息、智能装备制造等战略性新兴产业发展，打造先进制造业核心湾。福宁湾加快资源整合，推进霞浦经济开发区扩区、台水中心等园区建设，积极对接引进四大主导产业相关配套，培育发展海洋高新、清洁能源等战略性新兴产业，大力发展滨海旅游，打造蓝色经济产业湾。沙埕湾加快双岳前岐佳阳、龙安店下、文渡等片区开发建设，聚焦冶金新材料、锂电新能源、智能制造、港口物流等产业，承接宁德千亿产业集群及配套，积极拓展与浙西南产业双向对接合作，打造闽浙开放合作湾。</w:t>
      </w:r>
    </w:p>
    <w:p>
      <w:pPr>
        <w:pageBreakBefore w:val="0"/>
        <w:tabs>
          <w:tab w:val="left" w:pos="720"/>
        </w:tabs>
        <w:kinsoku/>
        <w:wordWrap/>
        <w:overflowPunct/>
        <w:topLinePunct w:val="0"/>
        <w:autoSpaceDE/>
        <w:autoSpaceDN/>
        <w:bidi w:val="0"/>
        <w:spacing w:line="600" w:lineRule="exact"/>
        <w:ind w:firstLine="602"/>
        <w:textAlignment w:val="auto"/>
        <w:rPr>
          <w:rFonts w:hint="eastAsia" w:ascii="仿宋_GB2312"/>
          <w:szCs w:val="30"/>
        </w:rPr>
      </w:pPr>
      <w:r>
        <w:rPr>
          <w:rFonts w:hint="eastAsia" w:ascii="仿宋_GB2312"/>
          <w:b/>
          <w:szCs w:val="30"/>
        </w:rPr>
        <w:t>“五轴”联动。</w:t>
      </w:r>
      <w:r>
        <w:rPr>
          <w:rFonts w:hint="eastAsia" w:ascii="仿宋_GB2312"/>
          <w:szCs w:val="30"/>
        </w:rPr>
        <w:t>以环三都澳湾区为核心，依托铁路、高速公路和国省干线等快速交通网络，辐射带动古田、屏南、周宁、寿宁、柘荣等五个山区县特色化发展，拓展形成湾区向</w:t>
      </w:r>
      <w:r>
        <w:rPr>
          <w:rFonts w:ascii="仿宋_GB2312"/>
          <w:szCs w:val="30"/>
        </w:rPr>
        <w:t>内陆</w:t>
      </w:r>
      <w:r>
        <w:rPr>
          <w:rFonts w:hint="eastAsia" w:ascii="仿宋_GB2312"/>
          <w:szCs w:val="30"/>
        </w:rPr>
        <w:t>延伸</w:t>
      </w:r>
      <w:r>
        <w:rPr>
          <w:rFonts w:ascii="仿宋_GB2312"/>
          <w:szCs w:val="30"/>
        </w:rPr>
        <w:t>的五条发展</w:t>
      </w:r>
      <w:r>
        <w:rPr>
          <w:rFonts w:hint="eastAsia" w:ascii="仿宋_GB2312"/>
          <w:szCs w:val="30"/>
        </w:rPr>
        <w:t>轴</w:t>
      </w:r>
      <w:r>
        <w:rPr>
          <w:rFonts w:ascii="仿宋_GB2312"/>
          <w:szCs w:val="30"/>
        </w:rPr>
        <w:t>，</w:t>
      </w:r>
      <w:r>
        <w:rPr>
          <w:rFonts w:hint="eastAsia" w:ascii="仿宋_GB2312"/>
          <w:szCs w:val="30"/>
        </w:rPr>
        <w:t>积极承接以四大主导产业为主体的产业配套项目转移，鼓励发展“飞地经济”，</w:t>
      </w:r>
      <w:r>
        <w:rPr>
          <w:rFonts w:ascii="仿宋_GB2312"/>
          <w:szCs w:val="30"/>
        </w:rPr>
        <w:t>探索开展产业园区共建模式</w:t>
      </w:r>
      <w:r>
        <w:rPr>
          <w:rFonts w:hint="eastAsia" w:ascii="仿宋_GB2312"/>
          <w:szCs w:val="30"/>
        </w:rPr>
        <w:t>，加强山海</w:t>
      </w:r>
      <w:r>
        <w:rPr>
          <w:rFonts w:ascii="仿宋_GB2312"/>
          <w:szCs w:val="30"/>
        </w:rPr>
        <w:t>基础设施互联互通、民生事业帮扶共享</w:t>
      </w:r>
      <w:r>
        <w:rPr>
          <w:rFonts w:hint="eastAsia" w:ascii="仿宋_GB2312"/>
          <w:szCs w:val="30"/>
        </w:rPr>
        <w:t>，推动山区县在深化合作中获得更多的发展机会。</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cs="楷体"/>
                <w:szCs w:val="30"/>
              </w:rPr>
            </w:pPr>
            <w:r>
              <w:rPr>
                <w:rFonts w:hint="eastAsia" w:ascii="仿宋_GB2312" w:hAnsi="楷体" w:cs="楷体"/>
                <w:b/>
                <w:bCs/>
                <w:szCs w:val="30"/>
              </w:rPr>
              <w:t>专栏8-1：湾区“五条”拓展轴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楷体" w:cs="宋体"/>
                <w:kern w:val="0"/>
                <w:sz w:val="24"/>
                <w:szCs w:val="28"/>
              </w:rPr>
            </w:pPr>
            <w:r>
              <w:rPr>
                <w:rFonts w:hint="eastAsia" w:ascii="仿宋_GB2312" w:hAnsi="楷体" w:cs="宋体"/>
                <w:b/>
                <w:kern w:val="0"/>
                <w:sz w:val="24"/>
                <w:szCs w:val="28"/>
              </w:rPr>
              <w:t>湾区-古田拓展轴。</w:t>
            </w:r>
            <w:r>
              <w:rPr>
                <w:rFonts w:hint="eastAsia" w:ascii="仿宋_GB2312" w:hAnsi="楷体" w:cs="宋体"/>
                <w:kern w:val="0"/>
                <w:sz w:val="24"/>
                <w:szCs w:val="28"/>
              </w:rPr>
              <w:t>依托</w:t>
            </w:r>
            <w:r>
              <w:rPr>
                <w:rFonts w:hint="eastAsia" w:ascii="仿宋_GB2312" w:hAnsi="楷体"/>
                <w:sz w:val="24"/>
                <w:szCs w:val="26"/>
              </w:rPr>
              <w:t>宁南铁路（规划）、宁古高速和S306</w:t>
            </w:r>
            <w:r>
              <w:rPr>
                <w:rFonts w:hint="eastAsia" w:ascii="仿宋_GB2312" w:hAnsi="楷体" w:cs="宋体"/>
                <w:kern w:val="0"/>
                <w:sz w:val="24"/>
                <w:szCs w:val="28"/>
              </w:rPr>
              <w:t>等，重点完善古田大甲工业园区基础设施建设，整合提升杉洋、鹤塘工业园区，在杉杉动力电池负极材料、生物科技食用菌基地等基础上，加快推进汽车配件等项目对接，扩大产业合作范围。</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楷体" w:cs="宋体"/>
                <w:kern w:val="0"/>
                <w:sz w:val="24"/>
                <w:szCs w:val="28"/>
              </w:rPr>
            </w:pPr>
            <w:r>
              <w:rPr>
                <w:rFonts w:hint="eastAsia" w:ascii="仿宋_GB2312" w:hAnsi="楷体" w:cs="宋体"/>
                <w:b/>
                <w:kern w:val="0"/>
                <w:sz w:val="24"/>
                <w:szCs w:val="28"/>
              </w:rPr>
              <w:t>湾区-屏南拓展轴。</w:t>
            </w:r>
            <w:r>
              <w:rPr>
                <w:rFonts w:hint="eastAsia" w:ascii="仿宋_GB2312" w:hAnsi="楷体"/>
                <w:sz w:val="24"/>
                <w:szCs w:val="26"/>
              </w:rPr>
              <w:t>依托衢宁铁路、宁德蕉城经屏南、杨源至庆元高速公路宁德段（规划）、G237等，重点加快溪角洋新能源新材料产业园、际头、甘棠工业集中区、精细化工园区等产业平台建设，积极承接锂电新能源、新能源汽车等重点产业配套项目转移。</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楷体" w:cs="宋体"/>
                <w:kern w:val="0"/>
                <w:sz w:val="24"/>
                <w:szCs w:val="28"/>
              </w:rPr>
            </w:pPr>
            <w:r>
              <w:rPr>
                <w:rFonts w:hint="eastAsia" w:ascii="仿宋_GB2312" w:hAnsi="楷体" w:cs="宋体"/>
                <w:b/>
                <w:kern w:val="0"/>
                <w:sz w:val="24"/>
                <w:szCs w:val="28"/>
              </w:rPr>
              <w:t>湾区-周宁拓展轴。</w:t>
            </w:r>
            <w:r>
              <w:rPr>
                <w:rFonts w:hint="eastAsia" w:ascii="仿宋_GB2312" w:hAnsi="楷体"/>
                <w:sz w:val="24"/>
                <w:szCs w:val="26"/>
              </w:rPr>
              <w:t>依托宁上高速、G353等，加快推进沿线咸村、李墩、虎岗等工业集中区建设，加快铸造企业“退城入园”，引导不锈钢新材料、锂电新能源等相关产业链梯度转移，共同做好项目对接生成。</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楷体" w:cs="宋体"/>
                <w:kern w:val="0"/>
                <w:sz w:val="24"/>
                <w:szCs w:val="28"/>
              </w:rPr>
            </w:pPr>
            <w:r>
              <w:rPr>
                <w:rFonts w:hint="eastAsia" w:ascii="仿宋_GB2312" w:hAnsi="楷体" w:cs="宋体"/>
                <w:b/>
                <w:kern w:val="0"/>
                <w:sz w:val="24"/>
                <w:szCs w:val="28"/>
              </w:rPr>
              <w:t>湾区-寿宁拓展轴。</w:t>
            </w:r>
            <w:r>
              <w:rPr>
                <w:rFonts w:hint="eastAsia" w:ascii="仿宋_GB2312" w:hAnsi="楷体"/>
                <w:sz w:val="24"/>
                <w:szCs w:val="26"/>
              </w:rPr>
              <w:t>依托溧宁高速、S203、S207</w:t>
            </w:r>
            <w:r>
              <w:rPr>
                <w:rFonts w:hint="eastAsia" w:ascii="仿宋_GB2312" w:hAnsi="楷体" w:cs="宋体"/>
                <w:kern w:val="0"/>
                <w:sz w:val="24"/>
                <w:szCs w:val="28"/>
              </w:rPr>
              <w:t>等，重点推进寿宁南阳、犀溪际武等园区平台建设，积极发展“飞地经济”，探索开展产业园区共建模式，共同开展联合招商，做好四大主导产业项目对接。</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color w:val="FF0000"/>
              </w:rPr>
            </w:pPr>
            <w:r>
              <w:rPr>
                <w:rFonts w:hint="eastAsia" w:ascii="仿宋_GB2312" w:hAnsi="楷体" w:cs="宋体"/>
                <w:b/>
                <w:kern w:val="0"/>
                <w:sz w:val="24"/>
                <w:szCs w:val="28"/>
              </w:rPr>
              <w:t>湾区-柘荣拓展轴。</w:t>
            </w:r>
            <w:r>
              <w:rPr>
                <w:rFonts w:hint="eastAsia" w:ascii="仿宋_GB2312" w:hAnsi="楷体"/>
                <w:sz w:val="24"/>
                <w:szCs w:val="26"/>
              </w:rPr>
              <w:t>依托沿海高铁（规划）、宁东高速、霞浦至浙江景宁高速（规划）、G104等</w:t>
            </w:r>
            <w:r>
              <w:rPr>
                <w:rFonts w:hint="eastAsia" w:ascii="仿宋_GB2312" w:hAnsi="楷体" w:cs="宋体"/>
                <w:kern w:val="0"/>
                <w:sz w:val="24"/>
                <w:szCs w:val="28"/>
              </w:rPr>
              <w:t>，利用药业资源优势，依托生物医药循环经济产业园，做大做强“闽东药城”。加快推进乍洋、大小利洋等产业园区建设，积极引进不锈钢精深加工、新能源汽车等项目配套。</w:t>
            </w:r>
          </w:p>
        </w:tc>
      </w:tr>
    </w:tbl>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三、拓展陆海统筹战略空间</w:t>
      </w:r>
    </w:p>
    <w:p>
      <w:pPr>
        <w:pageBreakBefore w:val="0"/>
        <w:kinsoku/>
        <w:wordWrap/>
        <w:overflowPunct/>
        <w:topLinePunct w:val="0"/>
        <w:autoSpaceDE/>
        <w:autoSpaceDN/>
        <w:bidi w:val="0"/>
        <w:spacing w:line="600" w:lineRule="exact"/>
        <w:ind w:firstLine="600"/>
        <w:textAlignment w:val="auto"/>
      </w:pPr>
      <w:r>
        <w:rPr>
          <w:rFonts w:hint="eastAsia"/>
        </w:rPr>
        <w:t>以海岸带为陆海统筹界面，优化陆海空间功能布局，拓展城市发展战略空间。加快海岛、岸线资源分类开发，推进海岛、海湾、海港“三海联动”，打造陆海统筹发展的战略支点。以海洋功能分区和海岛、岸线合理保护为基础，科学谋划重点保障重大建设项目用海用岛空间。依托港口资源优势，加大海洋资源开发和保护力度，拓展海洋经济发展空间，推动海洋经济由近岸海域、海岛向深远海延伸。</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607" w:name="_Toc22419"/>
      <w:bookmarkStart w:id="608" w:name="_Toc61117374"/>
      <w:bookmarkStart w:id="609" w:name="_Toc30890"/>
      <w:bookmarkStart w:id="610" w:name="_Toc11228"/>
      <w:bookmarkStart w:id="611" w:name="_Toc16682"/>
      <w:bookmarkStart w:id="612" w:name="_Toc4828"/>
      <w:bookmarkStart w:id="613" w:name="_Toc5542"/>
      <w:bookmarkStart w:id="614" w:name="_Toc11492"/>
      <w:bookmarkStart w:id="615" w:name="_Toc7967"/>
      <w:bookmarkStart w:id="616" w:name="_Toc11012"/>
      <w:bookmarkStart w:id="617" w:name="_Toc3411"/>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第二节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提升环湾中心城市能级</w:t>
      </w:r>
      <w:bookmarkEnd w:id="607"/>
      <w:bookmarkEnd w:id="608"/>
      <w:bookmarkEnd w:id="609"/>
      <w:bookmarkEnd w:id="610"/>
      <w:bookmarkEnd w:id="611"/>
      <w:bookmarkEnd w:id="612"/>
      <w:bookmarkEnd w:id="613"/>
      <w:bookmarkEnd w:id="614"/>
      <w:bookmarkEnd w:id="615"/>
      <w:bookmarkEnd w:id="616"/>
      <w:bookmarkEnd w:id="617"/>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优化城区空间布局，提升城市功能品质，完善城市治理体系，</w:t>
      </w:r>
      <w:r>
        <w:t xml:space="preserve"> </w:t>
      </w:r>
      <w:r>
        <w:rPr>
          <w:rFonts w:hint="eastAsia"/>
        </w:rPr>
        <w:t>推进环湾一体化发展，培育城市核心竞争力，以内生发力、全局聚力、智能增力，不断提升环湾中心城市能级。</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一、</w:t>
      </w:r>
      <w:r>
        <w:rPr>
          <w:rFonts w:hint="eastAsia"/>
          <w:b/>
          <w:bCs/>
        </w:rPr>
        <w:t>提升主城区首位度</w:t>
      </w:r>
    </w:p>
    <w:p>
      <w:pPr>
        <w:pageBreakBefore w:val="0"/>
        <w:kinsoku/>
        <w:wordWrap/>
        <w:overflowPunct/>
        <w:topLinePunct w:val="0"/>
        <w:autoSpaceDE/>
        <w:autoSpaceDN/>
        <w:bidi w:val="0"/>
        <w:spacing w:line="600" w:lineRule="exact"/>
        <w:ind w:firstLine="600"/>
        <w:textAlignment w:val="auto"/>
      </w:pPr>
      <w:r>
        <w:rPr>
          <w:rFonts w:hint="eastAsia"/>
        </w:rPr>
        <w:t>强化中心城区高端商务、金融服务、专业服务、商贸会展、总部经济等功能，加快推进东兰、三都澳新区、连城路片区、北部新城、金塔组团等重点片区建设，打造商务服务集聚区。加快布局城市商业配套设施，优化提升商业业态，推动主城区商圈提档升级。加快补齐基础设施、公共设施建设短板，完善金涵组团、北部新城等城市功能，强化历史文化保护、塑造城市风貌，加强老旧小区改造和社区建设，持续改善人居环境。积极探索东侨经济技术开发区管理体制改革，推进“区地合一”，实施成建制委托管理机制，充分释放国家级开发区平台能量，以锂电新能源小镇为核心，打造世界一流的锂电之都。</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二、推进行政区划调整</w:t>
      </w:r>
    </w:p>
    <w:p>
      <w:pPr>
        <w:pageBreakBefore w:val="0"/>
        <w:kinsoku/>
        <w:wordWrap/>
        <w:overflowPunct/>
        <w:topLinePunct w:val="0"/>
        <w:autoSpaceDE/>
        <w:autoSpaceDN/>
        <w:bidi w:val="0"/>
        <w:spacing w:line="600" w:lineRule="exact"/>
        <w:ind w:firstLine="600"/>
        <w:textAlignment w:val="auto"/>
      </w:pPr>
      <w:r>
        <w:rPr>
          <w:rFonts w:hint="eastAsia"/>
        </w:rPr>
        <w:t>适时启动撤市（县）设区，加快城市副中心建设，拉开环湾城市发展框架，加快建设“百平方公里级面积、百万级人口规模”的区域中心城市，加快环湾快速路、城际轨道等重大交通基础设施建设，加密蕉城与福安、霞浦之间城市交通主干道路网，构筑环湾“半小时”交通圈。推动环湾产业协同发展、公共服务共建共享，做大做强中心城区规模和经济实力，形成“一市多辖区”城市发展格局。统筹主城区、湾坞、下白石、溪南半岛、东冲半岛等环三都澳湾区重点片区，增强三都澳发展极核辐射带动功能，促进环三都澳湾区高水平一体化发展。</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三、提升城市功能品质</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提升城市设计水平，加强规划管控，留住城市特有的地域环境、文化特色、建筑风格等“基因”，形成具有闽东特色的城市韵味，提升中心城区宜居品质，</w:t>
      </w:r>
      <w:r>
        <w:rPr>
          <w:rFonts w:hint="eastAsia" w:ascii="仿宋_GB2312"/>
          <w:spacing w:val="-6"/>
          <w:szCs w:val="32"/>
        </w:rPr>
        <w:t>积极推进老旧小区改造，全面完成2000年底前建成的老旧小区改造工作，启动推进2000年至2010年间建成小区的改造工作。</w:t>
      </w:r>
      <w:r>
        <w:rPr>
          <w:rFonts w:hint="eastAsia" w:ascii="仿宋_GB2312"/>
        </w:rPr>
        <w:t>实施城市更新五年行动计划，</w:t>
      </w:r>
      <w:r>
        <w:rPr>
          <w:rFonts w:hint="eastAsia" w:ascii="仿宋_GB2312"/>
          <w:spacing w:val="-6"/>
          <w:szCs w:val="32"/>
        </w:rPr>
        <w:t>加快琼堂片区、福洋新村、汽车北站、署前路二期等片区城市更新，完善老城区市政基础设施，提升宜居品质。</w:t>
      </w:r>
      <w:r>
        <w:rPr>
          <w:rFonts w:hint="eastAsia" w:ascii="仿宋_GB2312"/>
        </w:rPr>
        <w:t>改造提升南大路鹏程、西北路城隍庙等历史文化街区。精心打造城市慢行休闲系统，高标准建设高品质社区，推进智慧示范小区建设。加快转变城市管理模式，推进科学化、精细化、智能化城市管理。加强市容环境综合整治、城市立面管理，美化市容市貌。完善市政环卫等配套基础设施，加快生活垃圾分类投放、分类收运和分类处理。</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cs="楷体"/>
                <w:szCs w:val="30"/>
              </w:rPr>
            </w:pPr>
            <w:r>
              <w:rPr>
                <w:rFonts w:hint="eastAsia" w:ascii="仿宋_GB2312" w:hAnsi="楷体" w:cs="楷体"/>
                <w:b/>
                <w:bCs/>
                <w:szCs w:val="30"/>
              </w:rPr>
              <w:t>专栏8</w:t>
            </w:r>
            <w:r>
              <w:rPr>
                <w:rFonts w:ascii="仿宋_GB2312" w:hAnsi="楷体" w:cs="楷体"/>
                <w:b/>
                <w:bCs/>
                <w:szCs w:val="30"/>
              </w:rPr>
              <w:t>-2</w:t>
            </w:r>
            <w:r>
              <w:rPr>
                <w:rFonts w:hint="eastAsia" w:ascii="仿宋_GB2312" w:hAnsi="楷体" w:cs="楷体"/>
                <w:b/>
                <w:bCs/>
                <w:szCs w:val="30"/>
              </w:rPr>
              <w:t>：城市有机更新工程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仿宋_GB2312" w:cs="仿宋_GB2312"/>
                <w:sz w:val="24"/>
                <w:szCs w:val="24"/>
              </w:rPr>
            </w:pPr>
            <w:r>
              <w:rPr>
                <w:rFonts w:hint="eastAsia" w:ascii="仿宋_GB2312" w:hAnsi="仿宋_GB2312" w:cs="仿宋_GB2312"/>
                <w:sz w:val="24"/>
                <w:szCs w:val="24"/>
              </w:rPr>
              <w:t>围绕改善人居环境、完善市政设施、完善生态景观、提升商圈能级、扮靓城市客厅、展示对外窗口等目标,积极推进宁德中心城区城市更新改造,稳步推进5年行动计划，分年度分片区通过拆旧建新开展更新改造,持续促进中心城区空间结构更新和城市品质提升,并带动各县市城区有机更新。</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618" w:name="_Toc26489"/>
      <w:bookmarkStart w:id="619" w:name="_Toc29995"/>
      <w:bookmarkStart w:id="620" w:name="_Toc28414"/>
      <w:bookmarkStart w:id="621" w:name="_Toc15406"/>
      <w:bookmarkStart w:id="622" w:name="_Toc5241"/>
      <w:bookmarkStart w:id="623" w:name="_Toc26439"/>
      <w:bookmarkStart w:id="624" w:name="_Toc7067"/>
      <w:bookmarkStart w:id="625" w:name="_Toc3527"/>
      <w:bookmarkStart w:id="626" w:name="_Toc10488"/>
      <w:bookmarkStart w:id="627" w:name="_Toc61117375"/>
      <w:bookmarkStart w:id="628" w:name="_Toc14473"/>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第三节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加快推进县城新型城镇化</w:t>
      </w:r>
      <w:bookmarkEnd w:id="618"/>
      <w:bookmarkEnd w:id="619"/>
      <w:bookmarkEnd w:id="620"/>
      <w:bookmarkEnd w:id="621"/>
      <w:bookmarkEnd w:id="622"/>
      <w:bookmarkEnd w:id="623"/>
      <w:bookmarkEnd w:id="624"/>
      <w:bookmarkEnd w:id="625"/>
      <w:bookmarkEnd w:id="626"/>
      <w:bookmarkEnd w:id="627"/>
      <w:bookmarkEnd w:id="628"/>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有序开发建设环三都澳湾区组团，大力推进山区县实施“大县城”战略，分类发展中心镇、特色镇，加强与中心城区互联互通，形成新型城镇化的重要支撑点。</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一、推动环湾县市提质扩容</w:t>
      </w:r>
    </w:p>
    <w:p>
      <w:pPr>
        <w:pageBreakBefore w:val="0"/>
        <w:kinsoku/>
        <w:wordWrap/>
        <w:overflowPunct/>
        <w:topLinePunct w:val="0"/>
        <w:autoSpaceDE/>
        <w:autoSpaceDN/>
        <w:bidi w:val="0"/>
        <w:spacing w:line="600" w:lineRule="exact"/>
        <w:ind w:firstLine="600"/>
        <w:textAlignment w:val="auto"/>
      </w:pPr>
      <w:r>
        <w:rPr>
          <w:rFonts w:hint="eastAsia"/>
        </w:rPr>
        <w:t>推进福安、霞浦、福鼎等次中心城市提质扩容，提高分担中心城区功能和集聚区域要素资源的承载能力。</w:t>
      </w:r>
    </w:p>
    <w:p>
      <w:pPr>
        <w:pageBreakBefore w:val="0"/>
        <w:kinsoku/>
        <w:wordWrap/>
        <w:overflowPunct/>
        <w:topLinePunct w:val="0"/>
        <w:autoSpaceDE/>
        <w:autoSpaceDN/>
        <w:bidi w:val="0"/>
        <w:spacing w:line="600" w:lineRule="exact"/>
        <w:ind w:firstLine="602"/>
        <w:textAlignment w:val="auto"/>
      </w:pPr>
      <w:r>
        <w:rPr>
          <w:rFonts w:hint="eastAsia"/>
          <w:b/>
          <w:bCs/>
        </w:rPr>
        <w:t>福安市。</w:t>
      </w:r>
      <w:r>
        <w:rPr>
          <w:rFonts w:hint="eastAsia"/>
        </w:rPr>
        <w:t>围绕“五福新城、全家福安”的发展定位，实施“西拓南展、拥江向海”的城市发展战略，拓展中部城镇集中区，推进富春溪组团旧城提升改造，加快溪北洋新区开发建设，建设赛江组团城市次中心；推进白马组团大力发展湾区经济，打造南部滨海高新区；突出西部北部特色，发展穆阳溪组团、白云山组团成为生态文旅区。着力打造环湾城市的重要制造基地、内畅外联的闽东北交通枢纽、宜业宜居的五福新城和山水和谐的生态城市。</w:t>
      </w:r>
    </w:p>
    <w:p>
      <w:pPr>
        <w:pageBreakBefore w:val="0"/>
        <w:kinsoku/>
        <w:wordWrap/>
        <w:overflowPunct/>
        <w:topLinePunct w:val="0"/>
        <w:autoSpaceDE/>
        <w:autoSpaceDN/>
        <w:bidi w:val="0"/>
        <w:spacing w:line="600" w:lineRule="exact"/>
        <w:ind w:firstLine="602"/>
        <w:textAlignment w:val="auto"/>
      </w:pPr>
      <w:r>
        <w:rPr>
          <w:rFonts w:hint="eastAsia"/>
          <w:b/>
          <w:bCs/>
        </w:rPr>
        <w:t>霞浦县。</w:t>
      </w:r>
      <w:r>
        <w:rPr>
          <w:rFonts w:hint="eastAsia"/>
        </w:rPr>
        <w:t>加快推动“城市向东、产业南移”，重点完善滨海新城公共服务、商业等功能配套，培育成为新的城市中心区和服务集聚区。加快提升松港组团，完善赤岸大道沿线城市功能。加快老城区改造提升，强化传统商业中心功能，提升城市品质。着力推进霞浦经济开发区“扩产提效”，加快补链、扩链、强链，引导园区产业向多元化、高端化发展，突出滩涂摄影、滨海旅游，进一步提升全域旅游发展格局，争创省级旅游度假区，建成全国知名的滨海休闲旅游目的地，打造生态型工贸旅游滨海城市。</w:t>
      </w:r>
    </w:p>
    <w:p>
      <w:pPr>
        <w:pageBreakBefore w:val="0"/>
        <w:kinsoku/>
        <w:wordWrap/>
        <w:overflowPunct/>
        <w:topLinePunct w:val="0"/>
        <w:autoSpaceDE/>
        <w:autoSpaceDN/>
        <w:bidi w:val="0"/>
        <w:spacing w:line="600" w:lineRule="exact"/>
        <w:ind w:firstLine="602"/>
        <w:textAlignment w:val="auto"/>
      </w:pPr>
      <w:r>
        <w:rPr>
          <w:rFonts w:hint="eastAsia"/>
          <w:b/>
          <w:bCs/>
        </w:rPr>
        <w:t>福鼎市。</w:t>
      </w:r>
      <w:r>
        <w:rPr>
          <w:rFonts w:hint="eastAsia"/>
        </w:rPr>
        <w:t>坚定实施“工业立市、旅游兴市、海洋强市”战略，坚持“东扩南移面海环湾”，加快铁锵、海湾、百胜等片区开发，推动前岐、点头、白琳融入城区发展，构建“一主一副、一湾一带”总体空间布局。依托沙埕湾万亩产业生态新城的规划建设，承接宁德千亿产业集群及配套，布局发展新能源、新材料、临港工业、港口物流、现代渔业、滨海旅游等产业，高标准建设宁德大湾区沙埕湾生态临港产业城市，打造“面海环湾”滨海城市。</w:t>
      </w:r>
    </w:p>
    <w:p>
      <w:pPr>
        <w:keepNext/>
        <w:keepLines/>
        <w:pageBreakBefore w:val="0"/>
        <w:kinsoku/>
        <w:wordWrap/>
        <w:overflowPunct/>
        <w:topLinePunct w:val="0"/>
        <w:autoSpaceDE/>
        <w:autoSpaceDN/>
        <w:bidi w:val="0"/>
        <w:spacing w:line="600" w:lineRule="exact"/>
        <w:ind w:firstLine="602"/>
        <w:textAlignment w:val="auto"/>
        <w:outlineLvl w:val="2"/>
        <w:rPr>
          <w:b/>
        </w:rPr>
      </w:pPr>
      <w:r>
        <w:rPr>
          <w:rFonts w:hint="eastAsia"/>
          <w:b/>
        </w:rPr>
        <w:t>二、推进山区县实施“大县城”战略</w:t>
      </w:r>
    </w:p>
    <w:p>
      <w:pPr>
        <w:pageBreakBefore w:val="0"/>
        <w:kinsoku/>
        <w:wordWrap/>
        <w:overflowPunct/>
        <w:topLinePunct w:val="0"/>
        <w:autoSpaceDE/>
        <w:autoSpaceDN/>
        <w:bidi w:val="0"/>
        <w:spacing w:line="600" w:lineRule="exact"/>
        <w:ind w:firstLine="600"/>
        <w:textAlignment w:val="auto"/>
      </w:pPr>
      <w:r>
        <w:rPr>
          <w:rFonts w:hint="eastAsia"/>
        </w:rPr>
        <w:t>大力推进山区县实施“大县城”战略，提升县城城市功能品质，增强县城集聚辐射能力。突出古田、屏南、周宁、寿宁、柘荣等山区县城的山区生态底色和比较优势，加强基础设施建设，提高山区县城集聚承载能力，引导农村人口、产业向县城集聚。古田加快“建三圈、兴三业、育三新”，打响“千年临水·健康古田”发展品牌，打造生态经济与多元文化强县。支持屏南以福建省生态产品价值实现先行区为总体定位，加快建设有全国影响力的全域旅游目的地、闽东北新兴绿色制造基地。周宁围绕滨海亚高原生态旅游县发展战略目标，立足国家重点生态功能县，加快发展县域特色产业，打造“宁德后花园”。寿宁围绕“大下党·大三祥·大城镇”发展目标，立足闽东北区域山海协同发展门户区位优势，积极打造全国乡村振兴示范区、中国锆镁新城及全国知名旅游目的地。柘荣全面推进“清新柘荣”建设，加快打造闽东药城、生态养生城。</w:t>
      </w:r>
    </w:p>
    <w:p>
      <w:pPr>
        <w:keepNext/>
        <w:keepLines/>
        <w:pageBreakBefore w:val="0"/>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三、积极推进城镇分类发展</w:t>
      </w:r>
    </w:p>
    <w:p>
      <w:pPr>
        <w:pageBreakBefore w:val="0"/>
        <w:kinsoku/>
        <w:wordWrap/>
        <w:overflowPunct/>
        <w:topLinePunct w:val="0"/>
        <w:autoSpaceDE/>
        <w:autoSpaceDN/>
        <w:bidi w:val="0"/>
        <w:spacing w:line="600" w:lineRule="exact"/>
        <w:ind w:firstLine="600"/>
        <w:textAlignment w:val="auto"/>
      </w:pPr>
      <w:r>
        <w:rPr>
          <w:rFonts w:hint="eastAsia"/>
        </w:rPr>
        <w:t>积极推进城镇差异化、特色化发展，重点打造一批功能完善、特色鲜明、宜居宜业的中心镇、特色镇。推进县城周边镇开展小城市试点建设，主动承接县城功能转移，着力完善城镇基础设施和配套服务，强化产业发展和交通节点功能。统筹推进中心镇建设，积极发展特色产业，建设一批产业集聚型、生态旅游型、商贸物流型等特色小城镇。距离县（市）城区较远的乡镇加快改善镇区居住环境，提升公共服务能力，发展成为服务农村、带动周边的综合性城镇。</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629" w:name="_Toc18368"/>
      <w:bookmarkStart w:id="630" w:name="_Toc5674"/>
      <w:bookmarkStart w:id="631" w:name="_Toc61117376"/>
      <w:bookmarkStart w:id="632" w:name="_Toc4927"/>
      <w:bookmarkStart w:id="633" w:name="_Toc26312"/>
      <w:bookmarkStart w:id="634" w:name="_Toc28859"/>
      <w:bookmarkStart w:id="635" w:name="_Toc6803"/>
      <w:bookmarkStart w:id="636" w:name="_Toc13245"/>
      <w:bookmarkStart w:id="637" w:name="_Toc6622"/>
      <w:bookmarkStart w:id="638" w:name="_Toc14421"/>
      <w:bookmarkStart w:id="639" w:name="_Toc25957"/>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第四节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推进城乡区域融合发展</w:t>
      </w:r>
      <w:bookmarkEnd w:id="629"/>
      <w:bookmarkEnd w:id="630"/>
      <w:bookmarkEnd w:id="631"/>
      <w:bookmarkEnd w:id="632"/>
      <w:bookmarkEnd w:id="633"/>
      <w:bookmarkEnd w:id="634"/>
      <w:bookmarkEnd w:id="635"/>
      <w:bookmarkEnd w:id="636"/>
      <w:bookmarkEnd w:id="637"/>
      <w:bookmarkEnd w:id="638"/>
      <w:bookmarkEnd w:id="639"/>
    </w:p>
    <w:p>
      <w:pPr>
        <w:pageBreakBefore w:val="0"/>
        <w:tabs>
          <w:tab w:val="left" w:pos="5670"/>
        </w:tabs>
        <w:kinsoku/>
        <w:wordWrap/>
        <w:overflowPunct/>
        <w:topLinePunct w:val="0"/>
        <w:autoSpaceDE/>
        <w:autoSpaceDN/>
        <w:bidi w:val="0"/>
        <w:spacing w:line="600" w:lineRule="exact"/>
        <w:ind w:firstLine="600"/>
        <w:textAlignment w:val="auto"/>
        <w:rPr>
          <w:rFonts w:hint="eastAsia"/>
        </w:rPr>
      </w:pPr>
    </w:p>
    <w:p>
      <w:pPr>
        <w:pageBreakBefore w:val="0"/>
        <w:tabs>
          <w:tab w:val="left" w:pos="5670"/>
        </w:tabs>
        <w:kinsoku/>
        <w:wordWrap/>
        <w:overflowPunct/>
        <w:topLinePunct w:val="0"/>
        <w:autoSpaceDE/>
        <w:autoSpaceDN/>
        <w:bidi w:val="0"/>
        <w:spacing w:line="600" w:lineRule="exact"/>
        <w:ind w:firstLine="600"/>
        <w:textAlignment w:val="auto"/>
      </w:pPr>
      <w:r>
        <w:rPr>
          <w:rFonts w:hint="eastAsia"/>
        </w:rPr>
        <w:t>树立城乡一盘棋理念，有序推进农业转移人口市民化，建立城乡一体融合发展体制机制和政策体系，稳妥推进国家城乡融合发展试验区建设，推进城乡区域融合发展。</w:t>
      </w:r>
    </w:p>
    <w:p>
      <w:pPr>
        <w:keepNext/>
        <w:keepLines/>
        <w:pageBreakBefore w:val="0"/>
        <w:tabs>
          <w:tab w:val="left" w:pos="5670"/>
        </w:tabs>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一、深化山海产业链配套协作</w:t>
      </w:r>
    </w:p>
    <w:p>
      <w:pPr>
        <w:pageBreakBefore w:val="0"/>
        <w:tabs>
          <w:tab w:val="left" w:pos="5670"/>
        </w:tabs>
        <w:kinsoku/>
        <w:wordWrap/>
        <w:overflowPunct/>
        <w:topLinePunct w:val="0"/>
        <w:autoSpaceDE/>
        <w:autoSpaceDN/>
        <w:bidi w:val="0"/>
        <w:spacing w:line="600" w:lineRule="exact"/>
        <w:ind w:firstLine="600"/>
        <w:textAlignment w:val="auto"/>
      </w:pPr>
      <w:r>
        <w:rPr>
          <w:rFonts w:hint="eastAsia"/>
        </w:rPr>
        <w:t>围绕四大主导产业，深化产业链区域分工合作，支持山区县引进和承接产业链配套产业，提升山区县内生发展动力。推进沿海县市与山区县搭建协作平台，重点谋划建设“飞地”园区、生态旅游文化产业园、山海协作产业园。创新山海协作模式，积极探索山区县通过“三供三保”在沿海发达区域设立“工业飞地”。完善联合招商引资机制，建立招商引资信息共享平台，联合开展招商引资活动。建立健全新型利益分享机制，采取包租固定回报、资本投资持股等多种形式，实现合作共赢、利益共享。</w:t>
      </w:r>
    </w:p>
    <w:p>
      <w:pPr>
        <w:keepNext/>
        <w:keepLines/>
        <w:pageBreakBefore w:val="0"/>
        <w:tabs>
          <w:tab w:val="left" w:pos="5670"/>
        </w:tabs>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二、有序推进农业转移人口市民化</w:t>
      </w:r>
    </w:p>
    <w:p>
      <w:pPr>
        <w:pageBreakBefore w:val="0"/>
        <w:kinsoku/>
        <w:wordWrap/>
        <w:overflowPunct/>
        <w:topLinePunct w:val="0"/>
        <w:autoSpaceDE/>
        <w:autoSpaceDN/>
        <w:bidi w:val="0"/>
        <w:spacing w:line="600" w:lineRule="exact"/>
        <w:ind w:firstLine="600"/>
        <w:textAlignment w:val="auto"/>
      </w:pPr>
      <w:r>
        <w:rPr>
          <w:rFonts w:hint="eastAsia"/>
        </w:rPr>
        <w:t>深化户籍制度改革，全面放开农业转移人口落户限制，切实维护进城落户农业转移人口的农村权益，健全“人地钱挂钩”机制，促进有能力在城镇稳定就业和生活的农业转移人口举家进城落户。推动基本公共服务均等化，加快实现城镇基本公共服务常住人口全覆盖，提高对城市生活的认同感和归属感。加强进城落户农业转移人口技能培训，提高进城农民就业竞争力和城市生活适应力。</w:t>
      </w:r>
    </w:p>
    <w:p>
      <w:pPr>
        <w:keepNext/>
        <w:keepLines/>
        <w:pageBreakBefore w:val="0"/>
        <w:tabs>
          <w:tab w:val="left" w:pos="5670"/>
        </w:tabs>
        <w:kinsoku/>
        <w:wordWrap/>
        <w:overflowPunct/>
        <w:topLinePunct w:val="0"/>
        <w:autoSpaceDE/>
        <w:autoSpaceDN/>
        <w:bidi w:val="0"/>
        <w:spacing w:line="600" w:lineRule="exact"/>
        <w:ind w:firstLine="602"/>
        <w:textAlignment w:val="auto"/>
        <w:outlineLvl w:val="2"/>
        <w:rPr>
          <w:b/>
          <w:bCs/>
          <w:szCs w:val="32"/>
        </w:rPr>
      </w:pPr>
      <w:r>
        <w:rPr>
          <w:rFonts w:hint="eastAsia"/>
          <w:b/>
          <w:bCs/>
          <w:szCs w:val="32"/>
        </w:rPr>
        <w:t>三、建立健全城乡融合发展机制</w:t>
      </w:r>
    </w:p>
    <w:p>
      <w:pPr>
        <w:pageBreakBefore w:val="0"/>
        <w:tabs>
          <w:tab w:val="left" w:pos="5670"/>
        </w:tabs>
        <w:kinsoku/>
        <w:wordWrap/>
        <w:overflowPunct/>
        <w:topLinePunct w:val="0"/>
        <w:autoSpaceDE/>
        <w:autoSpaceDN/>
        <w:bidi w:val="0"/>
        <w:spacing w:line="600" w:lineRule="exact"/>
        <w:ind w:firstLine="600"/>
        <w:textAlignment w:val="auto"/>
      </w:pPr>
      <w:r>
        <w:rPr>
          <w:rFonts w:hint="eastAsia"/>
        </w:rPr>
        <w:t>着力构建新型城乡关系，突出以城带乡、以工促农。建立城市人才入乡激励机制，鼓励引导高校毕业生回乡创业兴业，统筹实施“三支一扶”计划等高校毕业生服务基层项目。健全新时代科技特派员制度，推进科技特派员乡镇、村全覆盖。开展工商资本入乡发展试点，引导社会资本参与城乡民生基础设施投资建设，推进市政公用设施运营管理市场化、专业化。促进城乡公共设施联动发展，推进实施一批城乡公共设施联动建设项目，加快发展城乡教育联合体和县域医共体，建立优质教育、医疗资源城乡共享机制。</w:t>
      </w:r>
    </w:p>
    <w:p>
      <w:pPr>
        <w:keepNext/>
        <w:keepLines/>
        <w:pageBreakBefore w:val="0"/>
        <w:tabs>
          <w:tab w:val="left" w:pos="5670"/>
        </w:tabs>
        <w:kinsoku/>
        <w:wordWrap/>
        <w:overflowPunct/>
        <w:topLinePunct w:val="0"/>
        <w:autoSpaceDE/>
        <w:autoSpaceDN/>
        <w:bidi w:val="0"/>
        <w:spacing w:line="600" w:lineRule="exact"/>
        <w:ind w:firstLine="602"/>
        <w:textAlignment w:val="auto"/>
        <w:outlineLvl w:val="2"/>
      </w:pPr>
      <w:r>
        <w:rPr>
          <w:rFonts w:hint="eastAsia"/>
          <w:b/>
          <w:bCs/>
          <w:szCs w:val="32"/>
        </w:rPr>
        <w:t>四、建设国家城乡融合发展试验区</w:t>
      </w:r>
    </w:p>
    <w:p>
      <w:pPr>
        <w:pageBreakBefore w:val="0"/>
        <w:tabs>
          <w:tab w:val="left" w:pos="5670"/>
        </w:tabs>
        <w:kinsoku/>
        <w:wordWrap/>
        <w:overflowPunct/>
        <w:topLinePunct w:val="0"/>
        <w:autoSpaceDE/>
        <w:autoSpaceDN/>
        <w:bidi w:val="0"/>
        <w:spacing w:line="600" w:lineRule="exact"/>
        <w:ind w:firstLine="600"/>
        <w:textAlignment w:val="auto"/>
      </w:pPr>
      <w:r>
        <w:rPr>
          <w:rFonts w:hint="eastAsia"/>
        </w:rPr>
        <w:t>坚持顶层设计、基层首创、重点突破，围绕城乡生产要素双向自由流动、城乡人口有序流动、城乡建设用地市场、城乡金融服务体系、农村产权保护交易、农民持续增收等试验方向，建立健全实施工作指导机制，稳妥推进霞浦国家城乡融合发展试验区建设，为全省乃至全国提供可复制推广的城乡融合发展经验。</w:t>
      </w:r>
    </w:p>
    <w:p>
      <w:pPr>
        <w:pageBreakBefore w:val="0"/>
        <w:widowControl/>
        <w:kinsoku/>
        <w:wordWrap/>
        <w:overflowPunct/>
        <w:topLinePunct w:val="0"/>
        <w:autoSpaceDE/>
        <w:autoSpaceDN/>
        <w:bidi w:val="0"/>
        <w:spacing w:line="600" w:lineRule="exact"/>
        <w:ind w:firstLine="0" w:firstLineChars="0"/>
        <w:jc w:val="left"/>
        <w:textAlignment w:val="auto"/>
      </w:pPr>
      <w:r>
        <w:br w:type="page"/>
      </w:r>
    </w:p>
    <w:p>
      <w:pPr>
        <w:pStyle w:val="3"/>
        <w:pageBreakBefore w:val="0"/>
        <w:kinsoku/>
        <w:wordWrap/>
        <w:overflowPunct/>
        <w:topLinePunct w:val="0"/>
        <w:autoSpaceDE/>
        <w:autoSpaceDN/>
        <w:bidi w:val="0"/>
        <w:spacing w:line="600" w:lineRule="exact"/>
        <w:textAlignment w:val="auto"/>
        <w:rPr>
          <w:rFonts w:hint="eastAsia" w:ascii="黑体" w:hAnsi="黑体" w:eastAsia="黑体"/>
          <w:sz w:val="32"/>
          <w:szCs w:val="48"/>
        </w:rPr>
      </w:pPr>
      <w:bookmarkStart w:id="640" w:name="_Toc25359"/>
      <w:bookmarkStart w:id="641" w:name="_Toc61117377"/>
      <w:bookmarkStart w:id="642" w:name="_Toc32598"/>
      <w:bookmarkStart w:id="643" w:name="_Toc8729"/>
      <w:bookmarkStart w:id="644" w:name="_Toc6716"/>
      <w:bookmarkStart w:id="645" w:name="_Toc17997"/>
      <w:bookmarkStart w:id="646" w:name="_Toc23585"/>
      <w:bookmarkStart w:id="647" w:name="_Toc17929"/>
      <w:bookmarkStart w:id="648" w:name="_Toc7013"/>
    </w:p>
    <w:p>
      <w:pPr>
        <w:pStyle w:val="3"/>
        <w:pageBreakBefore w:val="0"/>
        <w:kinsoku/>
        <w:wordWrap/>
        <w:overflowPunct/>
        <w:topLinePunct w:val="0"/>
        <w:autoSpaceDE/>
        <w:autoSpaceDN/>
        <w:bidi w:val="0"/>
        <w:spacing w:line="600" w:lineRule="exact"/>
        <w:textAlignment w:val="auto"/>
        <w:rPr>
          <w:rFonts w:ascii="黑体" w:hAnsi="黑体" w:eastAsia="黑体"/>
          <w:b w:val="0"/>
          <w:bCs w:val="0"/>
          <w:sz w:val="32"/>
          <w:szCs w:val="48"/>
        </w:rPr>
      </w:pPr>
      <w:r>
        <w:rPr>
          <w:rFonts w:hint="eastAsia" w:ascii="黑体" w:hAnsi="黑体" w:eastAsia="黑体"/>
          <w:b w:val="0"/>
          <w:bCs w:val="0"/>
          <w:sz w:val="32"/>
          <w:szCs w:val="48"/>
        </w:rPr>
        <w:t>第九章</w:t>
      </w:r>
      <w:r>
        <w:rPr>
          <w:rFonts w:hint="eastAsia" w:ascii="黑体" w:hAnsi="黑体" w:eastAsia="黑体"/>
          <w:b w:val="0"/>
          <w:bCs w:val="0"/>
          <w:sz w:val="32"/>
          <w:szCs w:val="48"/>
          <w:lang w:val="en-US" w:eastAsia="zh-CN"/>
        </w:rPr>
        <w:t xml:space="preserve"> </w:t>
      </w:r>
      <w:r>
        <w:rPr>
          <w:rFonts w:ascii="黑体" w:hAnsi="黑体" w:eastAsia="黑体"/>
          <w:b w:val="0"/>
          <w:bCs w:val="0"/>
          <w:sz w:val="32"/>
          <w:szCs w:val="48"/>
        </w:rPr>
        <w:t xml:space="preserve"> </w:t>
      </w:r>
      <w:r>
        <w:rPr>
          <w:rFonts w:hint="eastAsia" w:ascii="黑体" w:hAnsi="黑体" w:eastAsia="黑体"/>
          <w:b w:val="0"/>
          <w:bCs w:val="0"/>
          <w:sz w:val="32"/>
          <w:szCs w:val="48"/>
        </w:rPr>
        <w:t>全力推进文化强市建设</w:t>
      </w:r>
      <w:bookmarkEnd w:id="640"/>
      <w:bookmarkEnd w:id="641"/>
      <w:bookmarkEnd w:id="642"/>
      <w:bookmarkEnd w:id="643"/>
      <w:bookmarkEnd w:id="644"/>
      <w:bookmarkEnd w:id="645"/>
      <w:bookmarkEnd w:id="646"/>
      <w:bookmarkEnd w:id="647"/>
      <w:bookmarkEnd w:id="648"/>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牢牢把握习近平总书记在宁德工作期间提出的“把闽东之光传播开去”的要求，坚持马克思主义在意识形态领域指导地位，以社会主义核心价值观引领文化建设，打造独具魅力的文化强市。</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649" w:name="_Toc15529"/>
      <w:bookmarkStart w:id="650" w:name="_Toc11111"/>
      <w:bookmarkStart w:id="651" w:name="_Toc25511"/>
      <w:bookmarkStart w:id="652" w:name="_Toc28221"/>
      <w:bookmarkStart w:id="653" w:name="_Toc15065"/>
      <w:bookmarkStart w:id="654" w:name="_Toc22085"/>
      <w:bookmarkStart w:id="655" w:name="_Toc2900"/>
      <w:bookmarkStart w:id="656" w:name="_Toc61117378"/>
      <w:bookmarkStart w:id="657" w:name="_Toc21970"/>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第一节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全面提升社会文明程度</w:t>
      </w:r>
      <w:bookmarkEnd w:id="649"/>
      <w:bookmarkEnd w:id="650"/>
      <w:bookmarkEnd w:id="651"/>
      <w:bookmarkEnd w:id="652"/>
      <w:bookmarkEnd w:id="653"/>
      <w:bookmarkEnd w:id="654"/>
      <w:bookmarkEnd w:id="655"/>
      <w:bookmarkEnd w:id="656"/>
      <w:bookmarkEnd w:id="657"/>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坚决扛起习近平新时代中国特色社会主义思想重要萌发地的责任担当，大力传承弘扬习近平总书记在宁德工作期间开创的一系列重要理念、重大部署、宝贵经验和优良作风，开展精神文明促进行动，培育和践行社会主义核心价值观。</w:t>
      </w:r>
    </w:p>
    <w:p>
      <w:pPr>
        <w:pStyle w:val="5"/>
        <w:pageBreakBefore w:val="0"/>
        <w:kinsoku/>
        <w:wordWrap/>
        <w:overflowPunct/>
        <w:topLinePunct w:val="0"/>
        <w:autoSpaceDE/>
        <w:autoSpaceDN/>
        <w:bidi w:val="0"/>
        <w:spacing w:line="600" w:lineRule="exact"/>
        <w:ind w:firstLine="602" w:firstLineChars="0"/>
        <w:textAlignment w:val="auto"/>
      </w:pPr>
      <w:r>
        <w:rPr>
          <w:rFonts w:hint="eastAsia"/>
        </w:rPr>
        <w:t>一、强化党的创新理论武装</w:t>
      </w:r>
    </w:p>
    <w:p>
      <w:pPr>
        <w:pageBreakBefore w:val="0"/>
        <w:kinsoku/>
        <w:wordWrap/>
        <w:overflowPunct/>
        <w:topLinePunct w:val="0"/>
        <w:autoSpaceDE/>
        <w:autoSpaceDN/>
        <w:bidi w:val="0"/>
        <w:spacing w:line="600" w:lineRule="exact"/>
        <w:ind w:firstLine="600"/>
        <w:textAlignment w:val="auto"/>
      </w:pPr>
      <w:r>
        <w:rPr>
          <w:rFonts w:hint="eastAsia"/>
        </w:rPr>
        <w:t>深入开展习近平新时代中国特色社会主义思想学习教育，创新理论宣传宣讲机制，提升理论宣讲轻骑兵、“学习大军”建设水平和影响力，用好新媒体、农村“村村响”广播等宣传载体，推动党的创新理论深入人心。强化宁德是习近平新时代中国特色社会主义思想的重要萌发地的认识，秉承弘扬习近平总书记在宁德工作期间留下的好思想好传统好作风，实施新思想溯源工程，深化对习近平新时代中国特色社会主义思想的历史逻辑、理论逻辑、实践逻辑的学习宣传和研究阐释。强化阵地建设和管理，加强网络文明建设。</w:t>
      </w:r>
    </w:p>
    <w:p>
      <w:pPr>
        <w:pStyle w:val="5"/>
        <w:pageBreakBefore w:val="0"/>
        <w:widowControl w:val="0"/>
        <w:kinsoku/>
        <w:wordWrap/>
        <w:overflowPunct/>
        <w:topLinePunct w:val="0"/>
        <w:autoSpaceDE/>
        <w:autoSpaceDN/>
        <w:bidi w:val="0"/>
        <w:adjustRightInd/>
        <w:snapToGrid/>
        <w:spacing w:line="580" w:lineRule="exact"/>
        <w:ind w:firstLine="602"/>
        <w:textAlignment w:val="auto"/>
      </w:pPr>
      <w:r>
        <w:rPr>
          <w:rFonts w:hint="eastAsia"/>
        </w:rPr>
        <w:t>二、培育和践行社会主义核心价值观</w:t>
      </w:r>
    </w:p>
    <w:p>
      <w:pPr>
        <w:pageBreakBefore w:val="0"/>
        <w:widowControl w:val="0"/>
        <w:kinsoku/>
        <w:wordWrap/>
        <w:overflowPunct/>
        <w:topLinePunct w:val="0"/>
        <w:autoSpaceDE/>
        <w:autoSpaceDN/>
        <w:bidi w:val="0"/>
        <w:adjustRightInd/>
        <w:snapToGrid/>
        <w:spacing w:line="580" w:lineRule="exact"/>
        <w:ind w:firstLine="600"/>
        <w:textAlignment w:val="auto"/>
      </w:pPr>
      <w:r>
        <w:rPr>
          <w:rFonts w:hint="eastAsia"/>
        </w:rPr>
        <w:t>坚持以社会主义核心价值观引领文化建设，推动形成适应新时代要求的思想观念、精神面貌、文明风尚、行为规范。推动理想信念教育常态化、制度化，弘扬民族精神和时代精神，深入开展党史、新中国史、改革开放史、社会主义发展史教育，强化爱国主义、集体主义、社会主义教育。大力弘扬闽东之光，加强对闽东红色文化和红色基因的保护、传承和弘扬，提升爱国主义教育基地和社科普及基地建设水平。深入推进民族团结进步创建工作，引导全民铸牢中华民族共同体意识。积极开展以劳动创造幸福为主题的宣传教育。</w:t>
      </w:r>
    </w:p>
    <w:p>
      <w:pPr>
        <w:pStyle w:val="5"/>
        <w:pageBreakBefore w:val="0"/>
        <w:widowControl w:val="0"/>
        <w:kinsoku/>
        <w:wordWrap/>
        <w:overflowPunct/>
        <w:topLinePunct w:val="0"/>
        <w:autoSpaceDE/>
        <w:autoSpaceDN/>
        <w:bidi w:val="0"/>
        <w:adjustRightInd/>
        <w:snapToGrid/>
        <w:spacing w:line="580" w:lineRule="exact"/>
        <w:ind w:firstLine="602"/>
        <w:textAlignment w:val="auto"/>
      </w:pPr>
      <w:r>
        <w:rPr>
          <w:rFonts w:hint="eastAsia"/>
        </w:rPr>
        <w:t>三、实施文明创建工程</w:t>
      </w:r>
    </w:p>
    <w:p>
      <w:pPr>
        <w:pageBreakBefore w:val="0"/>
        <w:widowControl w:val="0"/>
        <w:kinsoku/>
        <w:wordWrap/>
        <w:overflowPunct/>
        <w:topLinePunct w:val="0"/>
        <w:autoSpaceDE/>
        <w:autoSpaceDN/>
        <w:bidi w:val="0"/>
        <w:adjustRightInd/>
        <w:snapToGrid/>
        <w:spacing w:line="580" w:lineRule="exact"/>
        <w:ind w:firstLine="600"/>
        <w:textAlignment w:val="auto"/>
      </w:pPr>
      <w:r>
        <w:rPr>
          <w:rFonts w:hint="eastAsia"/>
        </w:rPr>
        <w:t>深化群众性精神文明创建活动，巩固提升全国文明城市创建成果，推进文明城市、文明村镇、文明单位、文明家庭、文明校园等创建，推动文明创建形成长效机制。开展公民思想道德建设和文明习惯养成工程，强化先进典型选树、学习宣传和帮扶礼遇工作，营造崇德向善、见贤思齐的浓厚氛围。完善出台宁德市地方性志愿服务政策，加强青年志愿服务骨干队伍建设，以蕉城、周宁、福安等全国试点为带动，拓展新时代文明实践中心建设，健全志愿服务体系。大力弘扬诚信文化，完善社会诚信体系，加快培育文明乡风、优良家风、淳朴民风。</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658" w:name="_Toc28207"/>
      <w:bookmarkStart w:id="659" w:name="_Toc28672"/>
      <w:bookmarkStart w:id="660" w:name="_Toc23159"/>
      <w:bookmarkStart w:id="661" w:name="_Toc32229"/>
      <w:bookmarkStart w:id="662" w:name="_Toc27800"/>
      <w:bookmarkStart w:id="663" w:name="_Toc21755"/>
      <w:bookmarkStart w:id="664" w:name="_Toc30224"/>
      <w:bookmarkStart w:id="665" w:name="_Toc18933"/>
      <w:bookmarkStart w:id="666" w:name="_Toc61117379"/>
    </w:p>
    <w:p>
      <w:pPr>
        <w:pStyle w:val="4"/>
        <w:pageBreakBefore w:val="0"/>
        <w:numPr>
          <w:ilvl w:val="0"/>
          <w:numId w:val="7"/>
        </w:numPr>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r>
        <w:rPr>
          <w:rFonts w:hint="eastAsia" w:ascii="楷体" w:hAnsi="楷体" w:eastAsia="楷体"/>
          <w:sz w:val="32"/>
          <w:szCs w:val="36"/>
          <w:lang w:val="en-US" w:eastAsia="zh-CN"/>
        </w:rPr>
        <w:t xml:space="preserve"> </w:t>
      </w:r>
      <w:r>
        <w:rPr>
          <w:rFonts w:hint="eastAsia" w:ascii="楷体" w:hAnsi="楷体" w:eastAsia="楷体"/>
          <w:sz w:val="32"/>
          <w:szCs w:val="36"/>
        </w:rPr>
        <w:t>提升闽东文化软实力</w:t>
      </w:r>
      <w:bookmarkEnd w:id="658"/>
      <w:bookmarkEnd w:id="659"/>
      <w:bookmarkEnd w:id="660"/>
      <w:bookmarkEnd w:id="661"/>
      <w:bookmarkEnd w:id="662"/>
      <w:bookmarkEnd w:id="663"/>
      <w:bookmarkEnd w:id="664"/>
      <w:bookmarkEnd w:id="665"/>
      <w:bookmarkEnd w:id="666"/>
    </w:p>
    <w:p>
      <w:pPr>
        <w:numPr>
          <w:ilvl w:val="0"/>
          <w:numId w:val="0"/>
        </w:numPr>
      </w:pPr>
    </w:p>
    <w:p>
      <w:pPr>
        <w:pageBreakBefore w:val="0"/>
        <w:kinsoku/>
        <w:wordWrap/>
        <w:overflowPunct/>
        <w:topLinePunct w:val="0"/>
        <w:autoSpaceDE/>
        <w:autoSpaceDN/>
        <w:bidi w:val="0"/>
        <w:spacing w:line="600" w:lineRule="exact"/>
        <w:ind w:firstLine="600"/>
        <w:textAlignment w:val="auto"/>
      </w:pPr>
      <w:r>
        <w:rPr>
          <w:rFonts w:hint="eastAsia"/>
        </w:rPr>
        <w:t>深入挖掘以红色文化、畲族文化等为核心的闽东文化内涵，推进文化遗产系统性保护，提升传统文化创新演绎能力，大力弘扬“闽东之光”。</w:t>
      </w:r>
    </w:p>
    <w:p>
      <w:pPr>
        <w:pStyle w:val="5"/>
        <w:pageBreakBefore w:val="0"/>
        <w:kinsoku/>
        <w:wordWrap/>
        <w:overflowPunct/>
        <w:topLinePunct w:val="0"/>
        <w:autoSpaceDE/>
        <w:autoSpaceDN/>
        <w:bidi w:val="0"/>
        <w:spacing w:line="600" w:lineRule="exact"/>
        <w:ind w:firstLine="602"/>
        <w:textAlignment w:val="auto"/>
      </w:pPr>
      <w:r>
        <w:rPr>
          <w:rFonts w:hint="eastAsia"/>
        </w:rPr>
        <w:t>一、挖掘闽东特色文化内涵</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强化闽东苏区红色基因传承，争取革命文物保护利用项目资金支持，加强闽东苏区、北上抗日先遣队、海上游击队、百丈岩九壮士等红色资源保护利用，积极创建申报爱国主义教育基地、红色旅游经典景区、A级旅游景区、国防教育基地，打响红色文化品牌。建设中华畲族文献资料中心、畲族文化研究交流中心、畲族文化园等畲族文化阵地，提升省级畲族文化生态保护示范点。充分挖掘“海上茶叶丝路起点”的历史底蕴，推进海岛古建筑群的保护与开发，打响闽东海洋文化风情品牌。加大对戍台名将甘国宝、爱国高僧圆瑛法师等名人乡贤宣传力度，丰富乡土文化内涵，增强闽东文化自信。</w:t>
      </w:r>
    </w:p>
    <w:p>
      <w:pPr>
        <w:pStyle w:val="5"/>
        <w:pageBreakBefore w:val="0"/>
        <w:kinsoku/>
        <w:wordWrap/>
        <w:overflowPunct/>
        <w:topLinePunct w:val="0"/>
        <w:autoSpaceDE/>
        <w:autoSpaceDN/>
        <w:bidi w:val="0"/>
        <w:spacing w:line="600" w:lineRule="exact"/>
        <w:ind w:firstLine="602"/>
        <w:textAlignment w:val="auto"/>
      </w:pPr>
      <w:r>
        <w:rPr>
          <w:rFonts w:hint="eastAsia"/>
        </w:rPr>
        <w:t>二、强化文化遗产系统性保护</w:t>
      </w:r>
    </w:p>
    <w:p>
      <w:pPr>
        <w:pageBreakBefore w:val="0"/>
        <w:kinsoku/>
        <w:wordWrap/>
        <w:overflowPunct/>
        <w:topLinePunct w:val="0"/>
        <w:autoSpaceDE/>
        <w:autoSpaceDN/>
        <w:bidi w:val="0"/>
        <w:spacing w:line="600" w:lineRule="exact"/>
        <w:ind w:firstLine="600"/>
        <w:textAlignment w:val="auto"/>
      </w:pPr>
      <w:r>
        <w:rPr>
          <w:rFonts w:hint="eastAsia"/>
          <w:lang w:val="zh-TW" w:eastAsia="zh-TW"/>
        </w:rPr>
        <w:t>分批分类实施文物保护工程</w:t>
      </w:r>
      <w:r>
        <w:rPr>
          <w:rFonts w:hint="eastAsia"/>
        </w:rPr>
        <w:t>，做好狮峰寺、凤岐吴氏大宅、闽东北廊桥、</w:t>
      </w:r>
      <w:r>
        <w:rPr>
          <w:rFonts w:hint="eastAsia" w:ascii="仿宋" w:hAnsi="仿宋" w:eastAsia="仿宋" w:cs="仿宋"/>
        </w:rPr>
        <w:t>漈</w:t>
      </w:r>
      <w:r>
        <w:rPr>
          <w:rFonts w:hint="eastAsia" w:ascii="仿宋_GB2312" w:hAnsi="仿宋_GB2312" w:cs="仿宋_GB2312"/>
        </w:rPr>
        <w:t>下建筑群等保护与开发。开展历史文化街区、名镇名村、传统村落普查认定工作，实施“十街十镇百村千屋”专项保护行动。强化文物保护基础性工作，推动文物修缮保养、环境整治和安全防护项目落地。加大文物征集力度，实施馆藏文物修复计划，建好管好各级各类博物馆。</w:t>
      </w:r>
      <w:r>
        <w:rPr>
          <w:rFonts w:hint="eastAsia"/>
        </w:rPr>
        <w:t>加强水密隔舱福船制造技艺、霍童线狮、福鼎铁枝、柘荣剪纸、屏南四平戏等非物质文化遗产的保护和活化利用，</w:t>
      </w:r>
      <w:r>
        <w:rPr>
          <w:rFonts w:hint="eastAsia" w:ascii="仿宋_GB2312" w:hAnsi="仿宋_GB2312" w:cs="仿宋_GB2312"/>
        </w:rPr>
        <w:t>完善四级非物质文化遗产项目名录保护体系，制定市级非物质文化遗产传承人认定与管理办法，创新非物质文化遗产展示展演和宣传推广方式，常态化开展集展示、展演、展销为一体的“闽东非遗文化周”活动。</w:t>
      </w:r>
    </w:p>
    <w:p>
      <w:pPr>
        <w:pStyle w:val="5"/>
        <w:pageBreakBefore w:val="0"/>
        <w:kinsoku/>
        <w:wordWrap/>
        <w:overflowPunct/>
        <w:topLinePunct w:val="0"/>
        <w:autoSpaceDE/>
        <w:autoSpaceDN/>
        <w:bidi w:val="0"/>
        <w:spacing w:line="600" w:lineRule="exact"/>
        <w:ind w:firstLine="602"/>
        <w:textAlignment w:val="auto"/>
      </w:pPr>
      <w:r>
        <w:rPr>
          <w:rFonts w:hint="eastAsia"/>
        </w:rPr>
        <w:t>三、推动传统文化创新演绎</w:t>
      </w:r>
    </w:p>
    <w:p>
      <w:pPr>
        <w:pageBreakBefore w:val="0"/>
        <w:kinsoku/>
        <w:wordWrap/>
        <w:overflowPunct/>
        <w:topLinePunct w:val="0"/>
        <w:autoSpaceDE/>
        <w:autoSpaceDN/>
        <w:bidi w:val="0"/>
        <w:spacing w:line="600" w:lineRule="exact"/>
        <w:ind w:firstLine="600"/>
        <w:textAlignment w:val="auto"/>
      </w:pPr>
      <w:r>
        <w:rPr>
          <w:rFonts w:hint="eastAsia"/>
        </w:rPr>
        <w:t>加强优秀传统剧目挖掘整理，积极探索“互联网</w:t>
      </w:r>
      <w:r>
        <w:rPr>
          <w:rFonts w:ascii="仿宋_GB2312"/>
        </w:rPr>
        <w:t>+</w:t>
      </w:r>
      <w:r>
        <w:rPr>
          <w:rFonts w:hint="eastAsia"/>
        </w:rPr>
        <w:t>演艺”新模式，大力发展云演艺。实施文艺精品高峰工程，加强现实题材、爱国主义和革命历史题材、地方特色题材作品创作生产，不断推出反映时代新气象、讴歌闽东人民新创造的文艺精品。深化国有文艺院团改革，办好畲族歌舞团。实施传播“闽东之光”文化惠民工程、乡村文化振兴“十百千万”工程，打造凝聚闽东文化精神的文化品牌，形成特色文化品牌矩阵。办好世界地质公园文化旅游节、“三月三”畲族文化节、霞浦滩涂摄影文化旅游周、古田陈靖姑文化旅游节等文化节庆活动，打造具有宁德特色、国际影响的节庆品牌。</w:t>
      </w:r>
    </w:p>
    <w:tbl>
      <w:tblPr>
        <w:tblStyle w:val="23"/>
        <w:tblW w:w="8296" w:type="dxa"/>
        <w:jc w:val="center"/>
        <w:tblLayout w:type="fixed"/>
        <w:tblCellMar>
          <w:top w:w="0" w:type="dxa"/>
          <w:left w:w="108" w:type="dxa"/>
          <w:bottom w:w="0" w:type="dxa"/>
          <w:right w:w="108" w:type="dxa"/>
        </w:tblCellMar>
      </w:tblPr>
      <w:tblGrid>
        <w:gridCol w:w="8296"/>
      </w:tblGrid>
      <w:tr>
        <w:trPr>
          <w:jc w:val="center"/>
        </w:trPr>
        <w:tc>
          <w:tcPr>
            <w:tcW w:w="829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仿宋_GB2312" w:hAnsi="楷体" w:cs="楷体"/>
                <w:szCs w:val="30"/>
              </w:rPr>
            </w:pPr>
            <w:r>
              <w:rPr>
                <w:rFonts w:hint="eastAsia" w:ascii="仿宋_GB2312" w:hAnsi="楷体" w:cs="楷体"/>
                <w:b/>
                <w:bCs/>
                <w:szCs w:val="30"/>
              </w:rPr>
              <w:t>专栏9</w:t>
            </w:r>
            <w:r>
              <w:rPr>
                <w:rFonts w:ascii="仿宋_GB2312" w:hAnsi="楷体" w:cs="楷体"/>
                <w:b/>
                <w:bCs/>
                <w:szCs w:val="30"/>
              </w:rPr>
              <w:t>-1</w:t>
            </w:r>
            <w:r>
              <w:rPr>
                <w:rFonts w:hint="eastAsia" w:ascii="仿宋_GB2312" w:hAnsi="楷体" w:cs="楷体"/>
                <w:b/>
                <w:bCs/>
                <w:szCs w:val="30"/>
              </w:rPr>
              <w:t>：闽东文化传承发展重点项目</w:t>
            </w:r>
          </w:p>
        </w:tc>
      </w:tr>
      <w:tr>
        <w:trPr>
          <w:jc w:val="center"/>
        </w:trPr>
        <w:tc>
          <w:tcPr>
            <w:tcW w:w="829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sz w:val="24"/>
                <w:szCs w:val="24"/>
              </w:rPr>
            </w:pPr>
            <w:r>
              <w:rPr>
                <w:rFonts w:hint="eastAsia" w:ascii="仿宋_GB2312"/>
                <w:b/>
                <w:sz w:val="24"/>
                <w:szCs w:val="24"/>
              </w:rPr>
              <w:t>文艺高峰工程：</w:t>
            </w:r>
            <w:r>
              <w:rPr>
                <w:rFonts w:hint="eastAsia" w:ascii="仿宋_GB2312"/>
                <w:sz w:val="24"/>
                <w:szCs w:val="24"/>
              </w:rPr>
              <w:t>以习近平总书记在宁德工作时的创新理念和生动实践、宁德红色文化和改革发展重要探索等主题为主线，以大型歌舞剧、纪录片、广播电视新闻作品创新创优为抓手，持续推出一批具有闽东风韵、宁德气派的精品力作，讲好宁德故事、传播宁德好声音。</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b/>
                <w:sz w:val="24"/>
                <w:szCs w:val="24"/>
              </w:rPr>
            </w:pPr>
            <w:r>
              <w:rPr>
                <w:rFonts w:hint="eastAsia" w:ascii="仿宋_GB2312"/>
                <w:b/>
                <w:bCs/>
                <w:sz w:val="24"/>
                <w:szCs w:val="24"/>
              </w:rPr>
              <w:t>“闽东之光”文化惠民工程：</w:t>
            </w:r>
            <w:r>
              <w:rPr>
                <w:rFonts w:hint="eastAsia" w:ascii="仿宋_GB2312"/>
                <w:sz w:val="24"/>
                <w:szCs w:val="24"/>
              </w:rPr>
              <w:t>立足闽东红色文化、畲族文化、海洋文化、廊桥文化、茶文化、民俗文化等区域特色文化资源禀赋，持续巩固提升一批传播“闽东之光”品牌活动项目，形成特色文化品牌矩阵。每年开展“闽东之光·文化惠民”文艺展演活动1000场以上。</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sz w:val="24"/>
                <w:szCs w:val="24"/>
              </w:rPr>
            </w:pPr>
            <w:r>
              <w:rPr>
                <w:rFonts w:hint="eastAsia" w:ascii="仿宋_GB2312"/>
                <w:b/>
                <w:sz w:val="24"/>
                <w:szCs w:val="24"/>
              </w:rPr>
              <w:t>文化遗产保护利用工程：</w:t>
            </w:r>
            <w:r>
              <w:rPr>
                <w:rFonts w:hint="eastAsia" w:ascii="仿宋_GB2312"/>
                <w:sz w:val="24"/>
                <w:szCs w:val="24"/>
              </w:rPr>
              <w:t>实施一批文化遗产保护重点项目，公布一批文保单位，预备一批申遗项目，做好闽浙木拱廊桥前期申遗工作，推进革命文物集中连片保护利用。</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b/>
                <w:bCs/>
                <w:sz w:val="24"/>
                <w:szCs w:val="24"/>
              </w:rPr>
            </w:pPr>
            <w:r>
              <w:rPr>
                <w:rFonts w:hint="eastAsia" w:ascii="仿宋_GB2312"/>
                <w:b/>
                <w:bCs/>
                <w:sz w:val="24"/>
                <w:szCs w:val="24"/>
              </w:rPr>
              <w:t>烈士纪念设施提质改造工程：</w:t>
            </w:r>
            <w:r>
              <w:rPr>
                <w:rFonts w:hint="eastAsia" w:ascii="仿宋_GB2312"/>
                <w:sz w:val="24"/>
                <w:szCs w:val="24"/>
              </w:rPr>
              <w:t>试点“烈士纪念设施数字展示工程”，打造一批内涵丰富、环境优美的烈士纪念设施精品工程。</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667" w:name="_Toc9568"/>
      <w:bookmarkStart w:id="668" w:name="_Toc26655"/>
      <w:bookmarkStart w:id="669" w:name="_Toc13875"/>
      <w:bookmarkStart w:id="670" w:name="_Toc30021"/>
      <w:bookmarkStart w:id="671" w:name="_Toc29093"/>
      <w:bookmarkStart w:id="672" w:name="_Toc7112"/>
      <w:bookmarkStart w:id="673" w:name="_Toc17419"/>
      <w:bookmarkStart w:id="674" w:name="_Toc61117380"/>
      <w:bookmarkStart w:id="675" w:name="_Toc20586"/>
    </w:p>
    <w:p>
      <w:pPr>
        <w:pStyle w:val="4"/>
        <w:pageBreakBefore w:val="0"/>
        <w:numPr>
          <w:ilvl w:val="0"/>
          <w:numId w:val="7"/>
        </w:numPr>
        <w:kinsoku/>
        <w:wordWrap/>
        <w:overflowPunct/>
        <w:topLinePunct w:val="0"/>
        <w:autoSpaceDE/>
        <w:autoSpaceDN/>
        <w:bidi w:val="0"/>
        <w:spacing w:beforeLines="0" w:afterLines="0" w:line="600" w:lineRule="exact"/>
        <w:ind w:left="0" w:leftChars="0" w:firstLine="0" w:firstLineChars="0"/>
        <w:textAlignment w:val="auto"/>
        <w:rPr>
          <w:rFonts w:hint="eastAsia" w:ascii="楷体" w:hAnsi="楷体" w:eastAsia="楷体"/>
          <w:sz w:val="32"/>
          <w:szCs w:val="36"/>
        </w:rPr>
      </w:pPr>
      <w:r>
        <w:rPr>
          <w:rFonts w:hint="eastAsia" w:ascii="楷体" w:hAnsi="楷体" w:eastAsia="楷体"/>
          <w:sz w:val="32"/>
          <w:szCs w:val="36"/>
          <w:lang w:val="en-US" w:eastAsia="zh-CN"/>
        </w:rPr>
        <w:t xml:space="preserve"> </w:t>
      </w:r>
      <w:r>
        <w:rPr>
          <w:rFonts w:hint="eastAsia" w:ascii="楷体" w:hAnsi="楷体" w:eastAsia="楷体"/>
          <w:sz w:val="32"/>
          <w:szCs w:val="36"/>
        </w:rPr>
        <w:t>推动文化产业繁荣发展</w:t>
      </w:r>
      <w:bookmarkEnd w:id="667"/>
      <w:bookmarkEnd w:id="668"/>
      <w:bookmarkEnd w:id="669"/>
      <w:bookmarkEnd w:id="670"/>
      <w:bookmarkEnd w:id="671"/>
      <w:bookmarkEnd w:id="672"/>
      <w:bookmarkEnd w:id="673"/>
      <w:bookmarkEnd w:id="674"/>
      <w:bookmarkEnd w:id="675"/>
    </w:p>
    <w:p>
      <w:pPr>
        <w:numPr>
          <w:ilvl w:val="0"/>
          <w:numId w:val="0"/>
        </w:numPr>
        <w:ind w:leftChars="0"/>
      </w:pPr>
    </w:p>
    <w:p>
      <w:pPr>
        <w:pageBreakBefore w:val="0"/>
        <w:kinsoku/>
        <w:wordWrap/>
        <w:overflowPunct/>
        <w:topLinePunct w:val="0"/>
        <w:autoSpaceDE/>
        <w:autoSpaceDN/>
        <w:bidi w:val="0"/>
        <w:spacing w:line="600" w:lineRule="exact"/>
        <w:ind w:firstLine="600"/>
        <w:textAlignment w:val="auto"/>
      </w:pPr>
      <w:r>
        <w:rPr>
          <w:rFonts w:hint="eastAsia"/>
        </w:rPr>
        <w:t>开展文化产业提升行动，加快推动文化产业融合发展，搭建产业支撑平台，优化文化产业发展软环境，加速文化产业向数字化、创意化、融合化发展，扩大闽东文化影响力。</w:t>
      </w:r>
    </w:p>
    <w:p>
      <w:pPr>
        <w:pStyle w:val="5"/>
        <w:pageBreakBefore w:val="0"/>
        <w:kinsoku/>
        <w:wordWrap/>
        <w:overflowPunct/>
        <w:topLinePunct w:val="0"/>
        <w:autoSpaceDE/>
        <w:autoSpaceDN/>
        <w:bidi w:val="0"/>
        <w:spacing w:line="600" w:lineRule="exact"/>
        <w:ind w:firstLine="602"/>
        <w:textAlignment w:val="auto"/>
      </w:pPr>
      <w:r>
        <w:rPr>
          <w:rFonts w:hint="eastAsia"/>
        </w:rPr>
        <w:t>一、优化文化产业结构</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实施文化产业数字化战略，引导传统文化产业数字化转型，加快发展新型文化企业、文化业态、文化消费模式。推进动漫游戏产业发展，孵化本土动漫游戏IP，拓展电竞赛事，打造动漫游戏产品研发和创新基地。推动短视频、直播、网络文学、网络影视等新业态发展，培育发展“网红经济”，规划建设一批数字文化产业园。推动文化创意产业发展，以包装设计、产品设计、服装设计、建筑设计、广告咨询等为重点，大力发展创意和设计服务业。推广福鼎“白茶+文创”、福安“数字+文创”、屏南“古村落+文创”、霞浦“摄影+民宿”等文化产业模式，发展乡村特色文创，打造一批文创古村落，推进特色文化创意产业园建设。开展“五强堡垒、3A乡村”创建活动，坚持党建引领文旅发展。积极培育“+文化旅游”产业，规划一批红色文化、海洋文化、民俗文化、畲族文化等特色文化为主题的深度体验式精品文化旅游路线，推动文化旅游与农业、工业、教育、体育等相关产业融合发展，打造一批文化旅游融合发展示范点。</w:t>
      </w:r>
    </w:p>
    <w:p>
      <w:pPr>
        <w:pStyle w:val="5"/>
        <w:pageBreakBefore w:val="0"/>
        <w:kinsoku/>
        <w:wordWrap/>
        <w:overflowPunct/>
        <w:topLinePunct w:val="0"/>
        <w:autoSpaceDE/>
        <w:autoSpaceDN/>
        <w:bidi w:val="0"/>
        <w:spacing w:line="600" w:lineRule="exact"/>
        <w:ind w:firstLine="602"/>
        <w:textAlignment w:val="auto"/>
      </w:pPr>
      <w:r>
        <w:rPr>
          <w:rFonts w:hint="eastAsia"/>
        </w:rPr>
        <w:t>二、构建文化产业支撑平台</w:t>
      </w:r>
    </w:p>
    <w:p>
      <w:pPr>
        <w:pageBreakBefore w:val="0"/>
        <w:kinsoku/>
        <w:wordWrap/>
        <w:overflowPunct/>
        <w:topLinePunct w:val="0"/>
        <w:autoSpaceDE/>
        <w:autoSpaceDN/>
        <w:bidi w:val="0"/>
        <w:spacing w:line="600" w:lineRule="exact"/>
        <w:ind w:firstLine="600"/>
        <w:textAlignment w:val="auto"/>
      </w:pPr>
      <w:r>
        <w:rPr>
          <w:rFonts w:hint="eastAsia"/>
        </w:rPr>
        <w:t>整合大创园、电商园以及中职院校、乡村等资源，建设一批创业聚集平台，带动技术、资本、政策等资源加速汇聚，实现资源共享，开放协作。搭建行业交流平台，充分发挥各类文化产业行业协会在行业管理、人才交流、信息共享、活动策划统计等方面的优势，实现资源优化配置。加强与外地同行业协会的交流合作，推动宁德市文化产业业态有效转移与对接。积极申办具有全国影响力的行业会议和展览活动，搭建交流展示、信息共享、合作发展、产品销售的平台。依托文化街区、重点商圈，培育一批夜间文化旅游消费集聚区。</w:t>
      </w:r>
    </w:p>
    <w:p>
      <w:pPr>
        <w:pStyle w:val="5"/>
        <w:pageBreakBefore w:val="0"/>
        <w:kinsoku/>
        <w:wordWrap/>
        <w:overflowPunct/>
        <w:topLinePunct w:val="0"/>
        <w:autoSpaceDE/>
        <w:autoSpaceDN/>
        <w:bidi w:val="0"/>
        <w:spacing w:line="600" w:lineRule="exact"/>
        <w:ind w:firstLine="602"/>
        <w:textAlignment w:val="auto"/>
      </w:pPr>
      <w:r>
        <w:rPr>
          <w:rFonts w:hint="eastAsia"/>
        </w:rPr>
        <w:t>三、优化文化产业发展环境</w:t>
      </w:r>
    </w:p>
    <w:p>
      <w:pPr>
        <w:pageBreakBefore w:val="0"/>
        <w:kinsoku/>
        <w:wordWrap/>
        <w:overflowPunct/>
        <w:topLinePunct w:val="0"/>
        <w:autoSpaceDE/>
        <w:autoSpaceDN/>
        <w:bidi w:val="0"/>
        <w:spacing w:line="600" w:lineRule="exact"/>
        <w:ind w:firstLine="600"/>
        <w:textAlignment w:val="auto"/>
      </w:pPr>
      <w:r>
        <w:rPr>
          <w:rFonts w:hint="eastAsia"/>
        </w:rPr>
        <w:t>推动文化产业公共服务平台建设，强化公共信息的采集与发布，助推文化企业更好地走出去。开展文化人才培养行动，加强文化干部队伍建设，以提高文化创新能力和专业艺术水平为导向，加大高层次人才和重点专业人才引进力度。创新文化人才培育制度，完善文化人才激励机制。提高文化市场监管力度，对文化企业进行信用分类监管，开展文化知识产权保护行动。持续深化文化体制改革，继续推进经营性文化事业单位转制为企业。落实公益性文化事业单位法人自主权，开展法人治理结构试点工作。推动传统媒体与新媒体技术相融合，加强传播手段建设与创新。</w:t>
      </w:r>
    </w:p>
    <w:tbl>
      <w:tblPr>
        <w:tblStyle w:val="23"/>
        <w:tblW w:w="8296" w:type="dxa"/>
        <w:jc w:val="center"/>
        <w:tblLayout w:type="fixed"/>
        <w:tblCellMar>
          <w:top w:w="0" w:type="dxa"/>
          <w:left w:w="108" w:type="dxa"/>
          <w:bottom w:w="0" w:type="dxa"/>
          <w:right w:w="108" w:type="dxa"/>
        </w:tblCellMar>
      </w:tblPr>
      <w:tblGrid>
        <w:gridCol w:w="8296"/>
      </w:tblGrid>
      <w:tr>
        <w:trPr>
          <w:jc w:val="center"/>
        </w:trPr>
        <w:tc>
          <w:tcPr>
            <w:tcW w:w="829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szCs w:val="30"/>
              </w:rPr>
            </w:pPr>
            <w:r>
              <w:rPr>
                <w:rFonts w:hint="eastAsia" w:ascii="仿宋_GB2312" w:hAnsi="楷体" w:cs="楷体"/>
                <w:b/>
                <w:bCs/>
                <w:szCs w:val="30"/>
              </w:rPr>
              <w:t>专栏9</w:t>
            </w:r>
            <w:r>
              <w:rPr>
                <w:rFonts w:ascii="仿宋_GB2312" w:hAnsi="楷体" w:cs="楷体"/>
                <w:b/>
                <w:bCs/>
                <w:szCs w:val="30"/>
              </w:rPr>
              <w:t>-2</w:t>
            </w:r>
            <w:r>
              <w:rPr>
                <w:rFonts w:hint="eastAsia" w:ascii="仿宋_GB2312" w:hAnsi="楷体" w:cs="楷体"/>
                <w:b/>
                <w:bCs/>
                <w:szCs w:val="30"/>
              </w:rPr>
              <w:t>：文化产业重点项目</w:t>
            </w:r>
          </w:p>
        </w:tc>
      </w:tr>
      <w:tr>
        <w:trPr>
          <w:jc w:val="center"/>
        </w:trPr>
        <w:tc>
          <w:tcPr>
            <w:tcW w:w="8296"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sz w:val="24"/>
                <w:szCs w:val="24"/>
              </w:rPr>
            </w:pPr>
            <w:r>
              <w:rPr>
                <w:rFonts w:hint="eastAsia" w:ascii="仿宋_GB2312"/>
                <w:b/>
                <w:bCs/>
                <w:sz w:val="24"/>
                <w:szCs w:val="24"/>
              </w:rPr>
              <w:t>文化产业数字化工程：</w:t>
            </w:r>
            <w:r>
              <w:rPr>
                <w:rFonts w:hint="eastAsia" w:ascii="仿宋_GB2312"/>
                <w:sz w:val="24"/>
                <w:szCs w:val="24"/>
              </w:rPr>
              <w:t>培育一批以大数据、物联网、区块链、云计算、</w:t>
            </w:r>
            <w:r>
              <w:rPr>
                <w:rFonts w:ascii="仿宋_GB2312"/>
                <w:sz w:val="24"/>
                <w:szCs w:val="24"/>
              </w:rPr>
              <w:t>5G</w:t>
            </w:r>
            <w:r>
              <w:rPr>
                <w:rFonts w:hint="eastAsia" w:ascii="仿宋_GB2312"/>
                <w:sz w:val="24"/>
                <w:szCs w:val="24"/>
              </w:rPr>
              <w:t>等新技术为核心的数字经济核心产业企业。推动演艺娱乐、工艺美术、文化旅游等传统文化产业的数字化转化，加强对文物、非物质文化遗产资源的数字化开发利用。</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sz w:val="24"/>
                <w:szCs w:val="24"/>
              </w:rPr>
            </w:pPr>
            <w:r>
              <w:rPr>
                <w:rFonts w:hint="eastAsia" w:ascii="仿宋_GB2312"/>
                <w:b/>
                <w:bCs/>
                <w:sz w:val="24"/>
                <w:szCs w:val="24"/>
              </w:rPr>
              <w:t>文旅融合工程：</w:t>
            </w:r>
            <w:r>
              <w:rPr>
                <w:rFonts w:hint="eastAsia" w:ascii="仿宋_GB2312"/>
                <w:sz w:val="24"/>
                <w:szCs w:val="24"/>
              </w:rPr>
              <w:t>提升福鼎六妙白茶庄园、绿雪芽茶庄园、屏南耕读体验馆等农文旅项目，支持宁德时代、宁德新能源科技、上汽宁德基地、青拓集团等工业企业开发工业旅游产品。发展红色旅游和乡村旅游，开发研学旅游产品，高质量发展民宿经济。推进实施</w:t>
            </w:r>
            <w:r>
              <w:rPr>
                <w:rFonts w:hint="eastAsia" w:ascii="仿宋_GB2312" w:hAnsi="仿宋_GB2312" w:cs="仿宋_GB2312"/>
                <w:sz w:val="24"/>
                <w:szCs w:val="24"/>
              </w:rPr>
              <w:t>中国·古田食用菌文化博览中心建设项目、</w:t>
            </w:r>
            <w:r>
              <w:rPr>
                <w:rFonts w:hint="eastAsia" w:ascii="仿宋_GB2312"/>
                <w:sz w:val="24"/>
                <w:szCs w:val="24"/>
              </w:rPr>
              <w:t>周宁县新城区文体旅综合体项目、寿宁县文旅产业融合示范区项目、甘棠乡甘国宝文旅小镇、屏城乡古村落群生态度假区建设项目、双溪文化创意旅游古镇建设项目、熙岭乡龙潭片区创意产业园项目等。</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676" w:name="_Toc8232"/>
      <w:bookmarkStart w:id="677" w:name="_Toc2653"/>
      <w:bookmarkStart w:id="678" w:name="_Toc27758"/>
      <w:bookmarkStart w:id="679" w:name="_Toc14377"/>
      <w:bookmarkStart w:id="680" w:name="_Toc862"/>
      <w:bookmarkStart w:id="681" w:name="_Toc32518"/>
      <w:bookmarkStart w:id="682" w:name="_Toc24921"/>
      <w:bookmarkStart w:id="683" w:name="_Toc9604"/>
      <w:bookmarkStart w:id="684" w:name="_Toc61117381"/>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第四节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完善提升公共文化服务体系</w:t>
      </w:r>
      <w:bookmarkEnd w:id="676"/>
      <w:bookmarkEnd w:id="677"/>
      <w:bookmarkEnd w:id="678"/>
      <w:bookmarkEnd w:id="679"/>
      <w:bookmarkEnd w:id="680"/>
      <w:bookmarkEnd w:id="681"/>
      <w:bookmarkEnd w:id="682"/>
      <w:bookmarkEnd w:id="683"/>
      <w:bookmarkEnd w:id="684"/>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以构建城乡均等的公共文化服务为目标，开展公共文化建设行动，推动公共文化基础设施建设，以数字化提升公共文化服务辐射能级，激发群众性公共文化发展活力。</w:t>
      </w:r>
    </w:p>
    <w:p>
      <w:pPr>
        <w:pStyle w:val="5"/>
        <w:pageBreakBefore w:val="0"/>
        <w:kinsoku/>
        <w:wordWrap/>
        <w:overflowPunct/>
        <w:topLinePunct w:val="0"/>
        <w:autoSpaceDE/>
        <w:autoSpaceDN/>
        <w:bidi w:val="0"/>
        <w:spacing w:line="600" w:lineRule="exact"/>
        <w:ind w:firstLine="602"/>
        <w:textAlignment w:val="auto"/>
      </w:pPr>
      <w:r>
        <w:rPr>
          <w:rFonts w:hint="eastAsia"/>
        </w:rPr>
        <w:t>一、加快公共文化设施建设</w:t>
      </w:r>
    </w:p>
    <w:p>
      <w:pPr>
        <w:pageBreakBefore w:val="0"/>
        <w:kinsoku/>
        <w:wordWrap/>
        <w:overflowPunct/>
        <w:topLinePunct w:val="0"/>
        <w:autoSpaceDE/>
        <w:autoSpaceDN/>
        <w:bidi w:val="0"/>
        <w:spacing w:line="600" w:lineRule="exact"/>
        <w:ind w:firstLine="600"/>
        <w:textAlignment w:val="auto"/>
      </w:pPr>
      <w:r>
        <w:rPr>
          <w:rFonts w:hint="eastAsia"/>
        </w:rPr>
        <w:t>推动媒体深度融合，建强用活县级融媒体中心，推进“智慧广电”建设，打造形成一批具有强大影响力和竞争力的新型主流媒体。健全公共文化设施运行管理和服务标准体系，加快培育一批公共文化服务体系示范项目。加大基层综合性文化服务中心示范点建设力度，推动乡村公共文化设施纳入总分馆制建设，建成一批文化馆、博物馆、图书馆、农家书屋、文化礼堂、文化广场等，打造市县乡村四级公共文化服务体系。常态化开展城乡“结对子、种文化”活动，实现乡村公共文化服务全覆盖。</w:t>
      </w:r>
    </w:p>
    <w:p>
      <w:pPr>
        <w:pStyle w:val="5"/>
        <w:pageBreakBefore w:val="0"/>
        <w:kinsoku/>
        <w:wordWrap/>
        <w:overflowPunct/>
        <w:topLinePunct w:val="0"/>
        <w:autoSpaceDE/>
        <w:autoSpaceDN/>
        <w:bidi w:val="0"/>
        <w:spacing w:line="600" w:lineRule="exact"/>
        <w:ind w:firstLine="602"/>
        <w:textAlignment w:val="auto"/>
      </w:pPr>
      <w:r>
        <w:rPr>
          <w:rFonts w:hint="eastAsia"/>
        </w:rPr>
        <w:t>二、提升公共文化服务能效</w:t>
      </w:r>
    </w:p>
    <w:p>
      <w:pPr>
        <w:pageBreakBefore w:val="0"/>
        <w:kinsoku/>
        <w:wordWrap/>
        <w:overflowPunct/>
        <w:topLinePunct w:val="0"/>
        <w:autoSpaceDE/>
        <w:autoSpaceDN/>
        <w:bidi w:val="0"/>
        <w:spacing w:line="600" w:lineRule="exact"/>
        <w:ind w:firstLine="600"/>
        <w:textAlignment w:val="auto"/>
      </w:pPr>
      <w:r>
        <w:rPr>
          <w:rFonts w:hint="eastAsia"/>
        </w:rPr>
        <w:t>加快推动公共文化数字化建设，建立全域文化大数据支撑系统，建成公共数字文化云服务平台。以宁德市公共图书馆数字资源平台建设为先行试点，推进数字图书馆、数字博物馆、数字文化馆、农村数字电影放映、数字农家书屋、城乡电子阅报屏等公共数字文化平台建设，实现跨区域数字化公共文化服务共建共享。创新公共文化服务运行机制和服务方式，推进法人治理机制改革，继续探索社会力量参与公共文化场所建设和经营的模式。坚持设施建设和运行管理并重，继续推进图书馆、文化馆、博物馆、纪念馆等公共文化服务场所免费开放，提高公共文化服务设施免费开放服务水平。</w:t>
      </w:r>
    </w:p>
    <w:p>
      <w:pPr>
        <w:pStyle w:val="5"/>
        <w:pageBreakBefore w:val="0"/>
        <w:kinsoku/>
        <w:wordWrap/>
        <w:overflowPunct/>
        <w:topLinePunct w:val="0"/>
        <w:autoSpaceDE/>
        <w:autoSpaceDN/>
        <w:bidi w:val="0"/>
        <w:spacing w:line="600" w:lineRule="exact"/>
        <w:ind w:firstLine="602"/>
        <w:textAlignment w:val="auto"/>
      </w:pPr>
      <w:r>
        <w:rPr>
          <w:rFonts w:hint="eastAsia"/>
        </w:rPr>
        <w:t>三、激发公共文化发展活力</w:t>
      </w:r>
    </w:p>
    <w:p>
      <w:pPr>
        <w:pageBreakBefore w:val="0"/>
        <w:kinsoku/>
        <w:wordWrap/>
        <w:overflowPunct/>
        <w:topLinePunct w:val="0"/>
        <w:autoSpaceDE/>
        <w:autoSpaceDN/>
        <w:bidi w:val="0"/>
        <w:spacing w:line="600" w:lineRule="exact"/>
        <w:ind w:firstLine="600"/>
        <w:textAlignment w:val="auto"/>
        <w:rPr>
          <w:shd w:val="clear" w:color="auto" w:fill="FFFFFF"/>
        </w:rPr>
      </w:pPr>
      <w:r>
        <w:rPr>
          <w:rFonts w:hint="eastAsia"/>
          <w:spacing w:val="-6"/>
          <w:shd w:val="clear" w:color="auto" w:fill="FFFFFF"/>
        </w:rPr>
        <w:t>积极实施文化惠民工程，建立健全政府向社会力量购买公共文化服务机制，将政府购买公共文化服务资金纳入财政预算。推动各种文化资源向基层倾斜，加大送戏、送书、送电影、送演出、送展览、送讲座下乡等活动力度，开展“闽东之光·文化惠民”文艺展演活动。构建市、</w:t>
      </w:r>
      <w:r>
        <w:rPr>
          <w:rFonts w:hint="eastAsia"/>
          <w:spacing w:val="-6"/>
        </w:rPr>
        <w:t>县（区）、乡（镇）三级文化志愿者服务平台，定期组织开展走基层、进军营、入校园等文化</w:t>
      </w:r>
      <w:r>
        <w:rPr>
          <w:rFonts w:hint="eastAsia"/>
          <w:spacing w:val="-6"/>
          <w:shd w:val="clear" w:color="auto" w:fill="FFFFFF"/>
        </w:rPr>
        <w:t>志愿服务。积极开展主题读书月等阅读推荐活动，推动全民阅读示范点建设，推进“书香宁德”建设。进一步完善公益性演出补贴制度，支持艺术表演团队提供公益性演出。大力发展与公共文化服务相关联的教育培训、体育健身、演艺会展等产业。积极开展群众文艺活动，用好“中国微演艺”“社区群星秀”等群众性文艺活动平台，激活民间文艺资源。</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仿宋_GB2312" w:hAnsi="楷体" w:cs="楷体"/>
                <w:szCs w:val="30"/>
              </w:rPr>
            </w:pPr>
            <w:r>
              <w:rPr>
                <w:rFonts w:hint="eastAsia" w:ascii="仿宋_GB2312" w:hAnsi="楷体" w:cs="楷体"/>
                <w:b/>
                <w:bCs/>
                <w:szCs w:val="30"/>
              </w:rPr>
              <w:t>专栏9</w:t>
            </w:r>
            <w:r>
              <w:rPr>
                <w:rFonts w:ascii="仿宋_GB2312" w:hAnsi="楷体" w:cs="楷体"/>
                <w:b/>
                <w:bCs/>
                <w:szCs w:val="30"/>
              </w:rPr>
              <w:t>-3</w:t>
            </w:r>
            <w:r>
              <w:rPr>
                <w:rFonts w:hint="eastAsia" w:ascii="仿宋_GB2312" w:hAnsi="楷体" w:cs="楷体"/>
                <w:b/>
                <w:bCs/>
                <w:szCs w:val="30"/>
              </w:rPr>
              <w:t>：公共文化服务设施提升工程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仿宋_GB2312" w:hAnsi="仿宋_GB2312" w:cs="仿宋_GB2312"/>
                <w:sz w:val="24"/>
                <w:szCs w:val="24"/>
              </w:rPr>
            </w:pPr>
            <w:r>
              <w:rPr>
                <w:rFonts w:hint="eastAsia" w:ascii="仿宋_GB2312" w:hAnsi="仿宋_GB2312" w:cs="仿宋_GB2312"/>
                <w:sz w:val="24"/>
                <w:szCs w:val="24"/>
              </w:rPr>
              <w:t>加快推进全域文化和旅游服务网络深度融合，打造“公共文化场馆</w:t>
            </w:r>
            <w:r>
              <w:rPr>
                <w:rFonts w:ascii="仿宋_GB2312" w:hAnsi="仿宋_GB2312" w:cs="仿宋_GB2312"/>
                <w:sz w:val="24"/>
                <w:szCs w:val="24"/>
              </w:rPr>
              <w:t>+</w:t>
            </w:r>
            <w:r>
              <w:rPr>
                <w:rFonts w:hint="eastAsia" w:ascii="仿宋_GB2312" w:hAnsi="仿宋_GB2312" w:cs="仿宋_GB2312"/>
                <w:sz w:val="24"/>
                <w:szCs w:val="24"/>
              </w:rPr>
              <w:t>旅游服务”新模式，建设一批主客共享乡村文旅驿站。深化公共文化服务供给侧结构性改革，着力建设一批具有城市特色的标志性文化设施，推进宁德大剧院建设项目、宁德畲族文化园、屏南县公共服务中心及廉政文化服务中心、寿宁县公共文化服务中心、福安市畲族文化中心、柘荣县文化艺术中心、福鼎市文化艺术中心等项目建设。</w:t>
            </w:r>
          </w:p>
        </w:tc>
      </w:tr>
    </w:tbl>
    <w:p>
      <w:pPr>
        <w:pageBreakBefore w:val="0"/>
        <w:kinsoku/>
        <w:wordWrap/>
        <w:overflowPunct/>
        <w:topLinePunct w:val="0"/>
        <w:autoSpaceDE/>
        <w:autoSpaceDN/>
        <w:bidi w:val="0"/>
        <w:spacing w:line="600" w:lineRule="exact"/>
        <w:ind w:firstLine="0" w:firstLineChars="0"/>
        <w:textAlignment w:val="auto"/>
        <w:rPr>
          <w:color w:val="333333"/>
          <w:shd w:val="clear" w:color="auto" w:fill="FFFFFF"/>
        </w:rPr>
      </w:pPr>
      <w:r>
        <w:rPr>
          <w:color w:val="333333"/>
          <w:shd w:val="clear" w:color="auto" w:fill="FFFFFF"/>
        </w:rPr>
        <w:tab/>
      </w:r>
    </w:p>
    <w:p>
      <w:pPr>
        <w:pageBreakBefore w:val="0"/>
        <w:widowControl/>
        <w:kinsoku/>
        <w:wordWrap/>
        <w:overflowPunct/>
        <w:topLinePunct w:val="0"/>
        <w:autoSpaceDE/>
        <w:autoSpaceDN/>
        <w:bidi w:val="0"/>
        <w:spacing w:line="600" w:lineRule="exact"/>
        <w:ind w:firstLine="0" w:firstLineChars="0"/>
        <w:jc w:val="left"/>
        <w:textAlignment w:val="auto"/>
        <w:rPr>
          <w:color w:val="333333"/>
          <w:shd w:val="clear" w:color="auto" w:fill="FFFFFF"/>
        </w:rPr>
      </w:pPr>
      <w:r>
        <w:rPr>
          <w:color w:val="333333"/>
          <w:shd w:val="clear" w:color="auto" w:fill="FFFFFF"/>
        </w:rPr>
        <w:br w:type="page"/>
      </w:r>
    </w:p>
    <w:p>
      <w:pPr>
        <w:pStyle w:val="3"/>
        <w:pageBreakBefore w:val="0"/>
        <w:kinsoku/>
        <w:wordWrap/>
        <w:overflowPunct/>
        <w:topLinePunct w:val="0"/>
        <w:autoSpaceDE/>
        <w:autoSpaceDN/>
        <w:bidi w:val="0"/>
        <w:spacing w:line="600" w:lineRule="exact"/>
        <w:textAlignment w:val="auto"/>
        <w:rPr>
          <w:rFonts w:hint="eastAsia" w:ascii="黑体" w:hAnsi="黑体" w:eastAsia="黑体"/>
          <w:b w:val="0"/>
          <w:bCs w:val="0"/>
          <w:sz w:val="32"/>
          <w:szCs w:val="48"/>
        </w:rPr>
      </w:pPr>
      <w:bookmarkStart w:id="685" w:name="_Toc16342"/>
      <w:bookmarkStart w:id="686" w:name="_Toc26908"/>
      <w:bookmarkStart w:id="687" w:name="_Toc23665"/>
      <w:bookmarkStart w:id="688" w:name="_Toc30818"/>
      <w:bookmarkStart w:id="689" w:name="_Toc17224"/>
      <w:bookmarkStart w:id="690" w:name="_Toc19115"/>
      <w:bookmarkStart w:id="691" w:name="_Toc27585"/>
      <w:bookmarkStart w:id="692" w:name="_Toc61117382"/>
      <w:bookmarkStart w:id="693" w:name="_Toc31704"/>
      <w:bookmarkStart w:id="694" w:name="_Toc19406"/>
      <w:bookmarkStart w:id="695" w:name="_Toc28242"/>
      <w:bookmarkStart w:id="696" w:name="_Toc21809"/>
      <w:bookmarkStart w:id="697" w:name="_Toc2192"/>
    </w:p>
    <w:p>
      <w:pPr>
        <w:pStyle w:val="3"/>
        <w:pageBreakBefore w:val="0"/>
        <w:kinsoku/>
        <w:wordWrap/>
        <w:overflowPunct/>
        <w:topLinePunct w:val="0"/>
        <w:autoSpaceDE/>
        <w:autoSpaceDN/>
        <w:bidi w:val="0"/>
        <w:spacing w:line="600" w:lineRule="exact"/>
        <w:textAlignment w:val="auto"/>
        <w:rPr>
          <w:rFonts w:ascii="黑体" w:hAnsi="黑体" w:eastAsia="黑体"/>
          <w:b w:val="0"/>
          <w:bCs w:val="0"/>
          <w:sz w:val="32"/>
          <w:szCs w:val="48"/>
        </w:rPr>
      </w:pPr>
      <w:r>
        <w:rPr>
          <w:rFonts w:hint="eastAsia" w:ascii="黑体" w:hAnsi="黑体" w:eastAsia="黑体"/>
          <w:b w:val="0"/>
          <w:bCs w:val="0"/>
          <w:sz w:val="32"/>
          <w:szCs w:val="48"/>
        </w:rPr>
        <w:t>第十章</w:t>
      </w:r>
      <w:r>
        <w:rPr>
          <w:rFonts w:hint="eastAsia" w:ascii="黑体" w:hAnsi="黑体" w:eastAsia="黑体"/>
          <w:b w:val="0"/>
          <w:bCs w:val="0"/>
          <w:sz w:val="32"/>
          <w:szCs w:val="48"/>
          <w:lang w:val="en-US" w:eastAsia="zh-CN"/>
        </w:rPr>
        <w:t xml:space="preserve"> </w:t>
      </w:r>
      <w:r>
        <w:rPr>
          <w:rFonts w:hint="eastAsia" w:ascii="黑体" w:hAnsi="黑体" w:eastAsia="黑体"/>
          <w:b w:val="0"/>
          <w:bCs w:val="0"/>
          <w:sz w:val="32"/>
          <w:szCs w:val="48"/>
        </w:rPr>
        <w:t xml:space="preserve"> 打造生态文明样板城市</w:t>
      </w:r>
      <w:bookmarkEnd w:id="685"/>
      <w:bookmarkEnd w:id="686"/>
      <w:bookmarkEnd w:id="687"/>
      <w:bookmarkEnd w:id="688"/>
      <w:bookmarkEnd w:id="689"/>
      <w:bookmarkEnd w:id="690"/>
      <w:bookmarkEnd w:id="691"/>
      <w:bookmarkEnd w:id="692"/>
      <w:bookmarkEnd w:id="693"/>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积极践行习近平总书记在宁德工作期间提出的“森林是水库、钱库、粮库”理念，把握“绿水青山就是金山银山”理念内涵，</w:t>
      </w:r>
      <w:r>
        <w:rPr>
          <w:rFonts w:hint="eastAsia" w:ascii="仿宋_GB2312" w:hAnsi="仿宋_GB2312" w:cs="仿宋_GB2312"/>
          <w:szCs w:val="30"/>
        </w:rPr>
        <w:t>深度融入生态省战略，</w:t>
      </w:r>
      <w:r>
        <w:rPr>
          <w:rFonts w:hint="eastAsia"/>
        </w:rPr>
        <w:t>推动产业发展与生态建设并重，</w:t>
      </w:r>
      <w:r>
        <w:rPr>
          <w:rFonts w:hint="eastAsia" w:ascii="仿宋_GB2312" w:hAnsi="仿宋_GB2312" w:cs="仿宋_GB2312"/>
          <w:szCs w:val="30"/>
        </w:rPr>
        <w:t>通过强化监管“严值”、提升环境“颜值”、实现生态“增值”，打造绿水青山、碧海蓝天的“美丽宁德”。</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698" w:name="_Toc277"/>
      <w:bookmarkStart w:id="699" w:name="_Toc13714"/>
      <w:bookmarkStart w:id="700" w:name="_Toc11835"/>
      <w:bookmarkStart w:id="701" w:name="_Toc31131"/>
      <w:bookmarkStart w:id="702" w:name="_Toc10928"/>
      <w:bookmarkStart w:id="703" w:name="_Toc61117383"/>
      <w:bookmarkStart w:id="704" w:name="_Toc21442"/>
      <w:bookmarkStart w:id="705" w:name="_Toc31329"/>
      <w:bookmarkStart w:id="706" w:name="_Toc29963"/>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第一节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优化山海生态屏障体系</w:t>
      </w:r>
      <w:bookmarkEnd w:id="698"/>
      <w:bookmarkEnd w:id="699"/>
      <w:bookmarkEnd w:id="700"/>
      <w:bookmarkEnd w:id="701"/>
      <w:bookmarkEnd w:id="702"/>
      <w:bookmarkEnd w:id="703"/>
      <w:bookmarkEnd w:id="704"/>
      <w:bookmarkEnd w:id="705"/>
      <w:bookmarkEnd w:id="706"/>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科学构建“两屏、九廊、十片区”生态保护空间结构，牢固树立“山水林田湖草是生命共同体”理念，强化海洋生态资源保护，提升生态系统质量和稳定性，筑牢全市生态安全屏障。</w:t>
      </w:r>
    </w:p>
    <w:p>
      <w:pPr>
        <w:pStyle w:val="5"/>
        <w:pageBreakBefore w:val="0"/>
        <w:kinsoku/>
        <w:wordWrap/>
        <w:overflowPunct/>
        <w:topLinePunct w:val="0"/>
        <w:autoSpaceDE/>
        <w:autoSpaceDN/>
        <w:bidi w:val="0"/>
        <w:spacing w:line="600" w:lineRule="exact"/>
        <w:ind w:firstLine="602"/>
        <w:textAlignment w:val="auto"/>
      </w:pPr>
      <w:r>
        <w:rPr>
          <w:rFonts w:hint="eastAsia"/>
        </w:rPr>
        <w:t>一、构建生态保护空间格局</w:t>
      </w:r>
    </w:p>
    <w:p>
      <w:pPr>
        <w:pageBreakBefore w:val="0"/>
        <w:kinsoku/>
        <w:wordWrap/>
        <w:overflowPunct/>
        <w:topLinePunct w:val="0"/>
        <w:autoSpaceDE/>
        <w:autoSpaceDN/>
        <w:bidi w:val="0"/>
        <w:spacing w:line="600" w:lineRule="exact"/>
        <w:ind w:firstLine="600"/>
        <w:textAlignment w:val="auto"/>
      </w:pPr>
      <w:r>
        <w:rPr>
          <w:rFonts w:hint="eastAsia"/>
        </w:rPr>
        <w:t>落实“三线一单”生态环境分区管控要求，分级分类建立国土空间规划，健全用途管制制度、完善自然保护地、生态保护红线监管制度。坚持系统保护原则，统筹生产、生活、生态布局，科学构建与环境资源承载力相匹配的“两屏、九廊、十片区”的生态保护空间格局。强化西部鹫峰岭和东部沿海两大生态屏障建设，建设交溪、霍童溪、古田溪等九条主要河流生态廊道，在推进三都澳海洋保护与灾害防护区、太姥山综合保育区、杨梅洲综合保育区等十个生态控制区保护基础上，重点突出宁西北、宁西南两大水源涵养区保护工作。</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pPr>
      <w:r>
        <w:drawing>
          <wp:inline distT="0" distB="0" distL="114300" distR="114300">
            <wp:extent cx="5238750" cy="3686175"/>
            <wp:effectExtent l="0" t="0" r="381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a:srcRect l="17821" t="7562" r="11392" b="11273"/>
                    <a:stretch>
                      <a:fillRect/>
                    </a:stretch>
                  </pic:blipFill>
                  <pic:spPr>
                    <a:xfrm>
                      <a:off x="0" y="0"/>
                      <a:ext cx="5238750" cy="3686175"/>
                    </a:xfrm>
                    <a:prstGeom prst="rect">
                      <a:avLst/>
                    </a:prstGeom>
                    <a:noFill/>
                    <a:ln>
                      <a:noFill/>
                    </a:ln>
                  </pic:spPr>
                </pic:pic>
              </a:graphicData>
            </a:graphic>
          </wp:inline>
        </w:drawing>
      </w:r>
    </w:p>
    <w:p>
      <w:pPr>
        <w:pageBreakBefore w:val="0"/>
        <w:kinsoku/>
        <w:wordWrap/>
        <w:overflowPunct/>
        <w:topLinePunct w:val="0"/>
        <w:autoSpaceDE/>
        <w:autoSpaceDN/>
        <w:bidi w:val="0"/>
        <w:spacing w:line="600" w:lineRule="exact"/>
        <w:ind w:firstLine="0" w:firstLineChars="0"/>
        <w:jc w:val="center"/>
        <w:textAlignment w:val="auto"/>
        <w:rPr>
          <w:rFonts w:hint="eastAsia" w:ascii="仿宋_GB2312"/>
        </w:rPr>
      </w:pPr>
      <w:r>
        <w:rPr>
          <w:rFonts w:hint="eastAsia" w:ascii="仿宋_GB2312"/>
          <w:b/>
          <w:bCs/>
        </w:rPr>
        <w:t>图10-1 生态保护空间结构图</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hint="eastAsia" w:ascii="仿宋_GB2312" w:hAnsi="楷体" w:cs="楷体"/>
                <w:szCs w:val="30"/>
              </w:rPr>
            </w:pPr>
            <w:r>
              <w:rPr>
                <w:rFonts w:hint="eastAsia" w:ascii="仿宋_GB2312" w:hAnsi="楷体" w:cs="楷体"/>
                <w:szCs w:val="30"/>
              </w:rPr>
              <w:t>专栏10-1：“两屏、九廊、十片区”生态安全格局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仿宋_GB2312" w:hAnsi="楷体" w:cs="宋体"/>
                <w:bCs/>
                <w:sz w:val="24"/>
                <w:szCs w:val="24"/>
              </w:rPr>
            </w:pPr>
            <w:r>
              <w:rPr>
                <w:rFonts w:hint="eastAsia" w:ascii="仿宋_GB2312" w:hAnsi="楷体" w:cs="宋体"/>
                <w:b/>
                <w:sz w:val="24"/>
                <w:szCs w:val="24"/>
              </w:rPr>
              <w:t>“两屏”：</w:t>
            </w:r>
            <w:r>
              <w:rPr>
                <w:rFonts w:hint="eastAsia" w:ascii="仿宋_GB2312" w:hAnsi="楷体" w:cs="宋体"/>
                <w:bCs/>
                <w:sz w:val="24"/>
                <w:szCs w:val="24"/>
              </w:rPr>
              <w:t>西部鹫峰岭生态屏障和东部沿海生态屏障。</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仿宋_GB2312" w:hAnsi="楷体" w:cs="宋体"/>
                <w:b/>
                <w:sz w:val="24"/>
                <w:szCs w:val="24"/>
              </w:rPr>
            </w:pPr>
            <w:r>
              <w:rPr>
                <w:rFonts w:hint="eastAsia" w:ascii="仿宋_GB2312" w:hAnsi="楷体" w:cs="宋体"/>
                <w:b/>
                <w:sz w:val="24"/>
                <w:szCs w:val="24"/>
              </w:rPr>
              <w:t>“九廊”：</w:t>
            </w:r>
            <w:r>
              <w:rPr>
                <w:rFonts w:hint="eastAsia" w:ascii="仿宋_GB2312" w:hAnsi="楷体" w:cs="宋体"/>
                <w:bCs/>
                <w:sz w:val="24"/>
                <w:szCs w:val="24"/>
              </w:rPr>
              <w:t>交溪、霍童溪、古田溪、水北溪、霞浦七都溪、罗汉溪、杯溪、蕉城七都溪、金溪九条主要河流生态廊道。</w:t>
            </w:r>
            <w:r>
              <w:rPr>
                <w:rFonts w:hint="eastAsia" w:ascii="仿宋_GB2312" w:hAnsi="楷体" w:cs="宋体"/>
                <w:b/>
                <w:sz w:val="24"/>
                <w:szCs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hint="eastAsia" w:ascii="仿宋_GB2312" w:cs="仿宋_GB2312"/>
                <w:sz w:val="24"/>
                <w:szCs w:val="24"/>
              </w:rPr>
            </w:pPr>
            <w:r>
              <w:rPr>
                <w:rFonts w:hint="eastAsia" w:ascii="仿宋_GB2312" w:hAnsi="楷体" w:cs="宋体"/>
                <w:b/>
                <w:sz w:val="24"/>
                <w:szCs w:val="24"/>
              </w:rPr>
              <w:t>“十片区”：</w:t>
            </w:r>
            <w:r>
              <w:rPr>
                <w:rFonts w:hint="eastAsia" w:ascii="仿宋_GB2312" w:hAnsi="楷体" w:cs="宋体"/>
                <w:bCs/>
                <w:sz w:val="24"/>
                <w:szCs w:val="24"/>
              </w:rPr>
              <w:t>三都澳海洋保护与灾害防护区、太姥山综合保育区、杨梅洲综合保育区、宁北水土保持与流失防治区、白云山综合保育区、宁中水土保持与水土流失防治区、翠屏湖综合保育区、鸳鸯溪生物多样性维护区、宁西北水源涵养区、宁西南水源涵养区等十片生态控制区。</w:t>
            </w:r>
          </w:p>
        </w:tc>
      </w:tr>
    </w:tbl>
    <w:p>
      <w:pPr>
        <w:pStyle w:val="5"/>
        <w:pageBreakBefore w:val="0"/>
        <w:kinsoku/>
        <w:wordWrap/>
        <w:overflowPunct/>
        <w:topLinePunct w:val="0"/>
        <w:autoSpaceDE/>
        <w:autoSpaceDN/>
        <w:bidi w:val="0"/>
        <w:spacing w:line="600" w:lineRule="exact"/>
        <w:ind w:firstLine="602"/>
        <w:textAlignment w:val="auto"/>
      </w:pPr>
      <w:r>
        <w:rPr>
          <w:rFonts w:hint="eastAsia"/>
        </w:rPr>
        <w:t>二、强化海洋生态资源保护</w:t>
      </w:r>
    </w:p>
    <w:p>
      <w:pPr>
        <w:pageBreakBefore w:val="0"/>
        <w:kinsoku/>
        <w:wordWrap/>
        <w:overflowPunct/>
        <w:topLinePunct w:val="0"/>
        <w:autoSpaceDE/>
        <w:autoSpaceDN/>
        <w:bidi w:val="0"/>
        <w:spacing w:line="600" w:lineRule="exact"/>
        <w:ind w:firstLine="600"/>
        <w:textAlignment w:val="auto"/>
      </w:pPr>
      <w:r>
        <w:rPr>
          <w:rFonts w:hint="eastAsia"/>
        </w:rPr>
        <w:t>严守海洋生态保护红线，将海洋重要生态功能区、生态敏感区和脆弱区划定为重点管控区域并严格分类管控。强化海洋生态特别保护区保护，实施海洋生态修复工程，着力保护海洋生物多样性。开展自然岸线本底调查，建立岸线保护与开发利用年度计划制度，科学合理有序开发海岸带和河口资源。重视重要岸线的战略预留，为后续开发提供发展空间。保护修复海岛资源，开展海岛生态状况普查，制定海岛保护名录。</w:t>
      </w:r>
    </w:p>
    <w:p>
      <w:pPr>
        <w:pStyle w:val="5"/>
        <w:pageBreakBefore w:val="0"/>
        <w:kinsoku/>
        <w:wordWrap/>
        <w:overflowPunct/>
        <w:topLinePunct w:val="0"/>
        <w:autoSpaceDE/>
        <w:autoSpaceDN/>
        <w:bidi w:val="0"/>
        <w:spacing w:line="600" w:lineRule="exact"/>
        <w:ind w:firstLine="602"/>
        <w:textAlignment w:val="auto"/>
      </w:pPr>
      <w:r>
        <w:rPr>
          <w:rFonts w:hint="eastAsia"/>
        </w:rPr>
        <w:t>三、提升生态系统质量与稳定性</w:t>
      </w:r>
    </w:p>
    <w:p>
      <w:pPr>
        <w:pageBreakBefore w:val="0"/>
        <w:kinsoku/>
        <w:wordWrap/>
        <w:overflowPunct/>
        <w:topLinePunct w:val="0"/>
        <w:autoSpaceDE/>
        <w:autoSpaceDN/>
        <w:bidi w:val="0"/>
        <w:spacing w:line="600" w:lineRule="exact"/>
        <w:ind w:firstLine="600"/>
        <w:textAlignment w:val="auto"/>
      </w:pPr>
      <w:r>
        <w:rPr>
          <w:rFonts w:hint="eastAsia"/>
        </w:rPr>
        <w:t>推进生态系统治理，以自然保护区、风景名胜区、旅游度假区、湿地保护区和国家森林公园等为载体，强化对关键生态敏感点保护。实施生物多样性保护工程，开展珍稀濒危野生动植物保护救助行动，加强外来物种管控。重点实施水流域生态保护和修复工程，科学推进水土流失综合治理。实施丘陵山地带生态保护和修复工程，严格控制矿业权投放。全面推行林长制，持续开展重点生态区商品林赎买，实施森林质量精准提升工程和“三个百千”绿化美化行动，启动闽东森林城市群建设。推进闽江、敖江流域“山水林田湖草”生态保护修复试点工程，统筹流域上下游进行整体保护、系统修复和综合治理。</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cs="楷体"/>
                <w:szCs w:val="30"/>
              </w:rPr>
            </w:pPr>
            <w:r>
              <w:rPr>
                <w:rFonts w:hint="eastAsia" w:ascii="仿宋_GB2312" w:hAnsi="楷体" w:cs="楷体"/>
                <w:szCs w:val="30"/>
              </w:rPr>
              <w:t>专栏10</w:t>
            </w:r>
            <w:r>
              <w:rPr>
                <w:rFonts w:ascii="仿宋_GB2312" w:hAnsi="楷体" w:cs="楷体"/>
                <w:szCs w:val="30"/>
              </w:rPr>
              <w:t>-2</w:t>
            </w:r>
            <w:r>
              <w:rPr>
                <w:rFonts w:hint="eastAsia" w:ascii="仿宋_GB2312" w:hAnsi="楷体" w:cs="楷体"/>
                <w:szCs w:val="30"/>
              </w:rPr>
              <w:t>：重要生态系统保护和修复工程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楷体" w:cs="宋体"/>
                <w:bCs/>
                <w:sz w:val="24"/>
                <w:szCs w:val="24"/>
              </w:rPr>
            </w:pPr>
            <w:r>
              <w:rPr>
                <w:rFonts w:hint="eastAsia" w:ascii="仿宋_GB2312" w:hAnsi="楷体" w:cs="宋体"/>
                <w:b/>
                <w:sz w:val="24"/>
                <w:szCs w:val="24"/>
              </w:rPr>
              <w:t>丘陵山地带生态保护和修复工程：</w:t>
            </w:r>
            <w:r>
              <w:rPr>
                <w:rFonts w:hint="eastAsia" w:ascii="仿宋_GB2312" w:hAnsi="楷体" w:cs="宋体"/>
                <w:bCs/>
                <w:sz w:val="24"/>
                <w:szCs w:val="24"/>
              </w:rPr>
              <w:t>实施天然林保护、矿山地质环境恢复治理和土地综合整治工程，加强森林资源管护和森林质量精准提升，开展重点区位林分修复和基干林带修复工作，加快建设森林公园。</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楷体" w:cs="宋体"/>
                <w:b/>
                <w:sz w:val="24"/>
                <w:szCs w:val="24"/>
              </w:rPr>
            </w:pPr>
            <w:r>
              <w:rPr>
                <w:rFonts w:hint="eastAsia" w:ascii="仿宋_GB2312" w:hAnsi="楷体" w:cs="宋体"/>
                <w:b/>
                <w:sz w:val="24"/>
                <w:szCs w:val="24"/>
              </w:rPr>
              <w:t>生物多样性保护工程：</w:t>
            </w:r>
            <w:r>
              <w:rPr>
                <w:rFonts w:hint="eastAsia" w:ascii="仿宋_GB2312" w:hAnsi="楷体" w:cs="宋体"/>
                <w:bCs/>
                <w:sz w:val="24"/>
                <w:szCs w:val="24"/>
              </w:rPr>
              <w:t>实施极小种群野生动植物保护项目，组建野生动物救护中心，开展野生动植物保护救护，联通生态廊道，重点实施鸳鸯、猕猴、黑脸琵鹭等珍稀濒危野生动物，红豆杉、水松、桫椤、香樟等珍稀濒危野生植物的保护救护。</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楷体" w:cs="宋体"/>
                <w:bCs/>
                <w:sz w:val="24"/>
                <w:szCs w:val="24"/>
              </w:rPr>
            </w:pPr>
            <w:r>
              <w:rPr>
                <w:rFonts w:hint="eastAsia" w:ascii="仿宋_GB2312" w:hAnsi="楷体" w:cs="宋体"/>
                <w:b/>
                <w:sz w:val="24"/>
                <w:szCs w:val="24"/>
              </w:rPr>
              <w:t>水流域生态保护和修复工程：</w:t>
            </w:r>
            <w:r>
              <w:rPr>
                <w:rFonts w:hint="eastAsia" w:ascii="仿宋_GB2312" w:hAnsi="楷体" w:cs="宋体"/>
                <w:bCs/>
                <w:sz w:val="24"/>
                <w:szCs w:val="24"/>
              </w:rPr>
              <w:t>推进交溪、霍童溪等重点流域环境、水土流失和湿地保护修复等综合治理工程，依托水源涵养、植被恢复、水环境整治等方法恢复生态功能。</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楷体" w:cs="宋体"/>
                <w:bCs/>
                <w:sz w:val="24"/>
                <w:szCs w:val="24"/>
              </w:rPr>
            </w:pPr>
            <w:r>
              <w:rPr>
                <w:rFonts w:hint="eastAsia" w:ascii="仿宋_GB2312" w:hAnsi="楷体" w:cs="宋体"/>
                <w:b/>
                <w:sz w:val="24"/>
                <w:szCs w:val="24"/>
              </w:rPr>
              <w:t>闽江、敖江流域山水林田湖草生态保护修复工程：</w:t>
            </w:r>
            <w:r>
              <w:rPr>
                <w:rFonts w:hint="eastAsia" w:ascii="仿宋_GB2312" w:hAnsi="楷体" w:cs="宋体"/>
                <w:bCs/>
                <w:sz w:val="24"/>
                <w:szCs w:val="24"/>
              </w:rPr>
              <w:t>重点实施水环境综合治理、环境质量改善、生境修复工程，显著提升生态系统质量和稳定性。</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楷体" w:cs="宋体"/>
                <w:b/>
                <w:sz w:val="24"/>
                <w:szCs w:val="24"/>
              </w:rPr>
            </w:pPr>
            <w:r>
              <w:rPr>
                <w:rFonts w:hint="eastAsia" w:ascii="仿宋_GB2312" w:hAnsi="楷体" w:cs="宋体"/>
                <w:b/>
                <w:sz w:val="24"/>
                <w:szCs w:val="24"/>
              </w:rPr>
              <w:t>生态气象保障工程：</w:t>
            </w:r>
            <w:r>
              <w:rPr>
                <w:rFonts w:hint="eastAsia" w:ascii="仿宋_GB2312" w:hAnsi="楷体" w:cs="宋体"/>
                <w:bCs/>
                <w:sz w:val="24"/>
                <w:szCs w:val="24"/>
              </w:rPr>
              <w:t>聚焦生态保护和修复重点工程任务，完善生态气象综合观测系统。强化森林火灾预防和应急处置、有害生物防治等气象保障服务。加强人工影响天气装备建设，提高生态修复型作业能力。</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707" w:name="_Toc25618"/>
      <w:bookmarkStart w:id="708" w:name="_Toc23619"/>
      <w:bookmarkStart w:id="709" w:name="_Toc61117384"/>
      <w:bookmarkStart w:id="710" w:name="_Toc14336"/>
      <w:bookmarkStart w:id="711" w:name="_Toc17164"/>
      <w:bookmarkStart w:id="712" w:name="_Toc10704"/>
      <w:bookmarkStart w:id="713" w:name="_Toc17392"/>
      <w:bookmarkStart w:id="714" w:name="_Toc28356"/>
      <w:bookmarkStart w:id="715" w:name="_Toc30800"/>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第二节</w:t>
      </w:r>
      <w:r>
        <w:rPr>
          <w:rFonts w:hint="eastAsia" w:ascii="楷体" w:hAnsi="楷体" w:eastAsia="楷体"/>
          <w:sz w:val="32"/>
          <w:szCs w:val="36"/>
          <w:lang w:val="en-US" w:eastAsia="zh-CN"/>
        </w:rPr>
        <w:t xml:space="preserve"> </w:t>
      </w:r>
      <w:r>
        <w:rPr>
          <w:rFonts w:hint="eastAsia" w:ascii="楷体" w:hAnsi="楷体" w:eastAsia="楷体"/>
          <w:sz w:val="32"/>
          <w:szCs w:val="36"/>
        </w:rPr>
        <w:t xml:space="preserve"> 提升生态环境空间容量</w:t>
      </w:r>
      <w:bookmarkEnd w:id="707"/>
      <w:bookmarkEnd w:id="708"/>
      <w:bookmarkEnd w:id="709"/>
      <w:bookmarkEnd w:id="710"/>
      <w:bookmarkEnd w:id="711"/>
      <w:bookmarkEnd w:id="712"/>
      <w:bookmarkEnd w:id="713"/>
      <w:bookmarkEnd w:id="714"/>
      <w:bookmarkEnd w:id="715"/>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坚持精准治污、科学治污、依法治污，实施“蓝天、碧水、碧海、净土”四大工程，深入打好升级版污染防治攻坚战，聚力提升生态环境容量和承载力。</w:t>
      </w:r>
    </w:p>
    <w:p>
      <w:pPr>
        <w:pStyle w:val="5"/>
        <w:pageBreakBefore w:val="0"/>
        <w:kinsoku/>
        <w:wordWrap/>
        <w:overflowPunct/>
        <w:topLinePunct w:val="0"/>
        <w:autoSpaceDE/>
        <w:autoSpaceDN/>
        <w:bidi w:val="0"/>
        <w:spacing w:line="600" w:lineRule="exact"/>
        <w:ind w:firstLine="602"/>
        <w:textAlignment w:val="auto"/>
      </w:pPr>
      <w:r>
        <w:rPr>
          <w:rFonts w:hint="eastAsia"/>
        </w:rPr>
        <w:t>一、实施蓝天工程</w:t>
      </w:r>
    </w:p>
    <w:p>
      <w:pPr>
        <w:pageBreakBefore w:val="0"/>
        <w:kinsoku/>
        <w:wordWrap/>
        <w:overflowPunct/>
        <w:topLinePunct w:val="0"/>
        <w:autoSpaceDE/>
        <w:autoSpaceDN/>
        <w:bidi w:val="0"/>
        <w:spacing w:line="600" w:lineRule="exact"/>
        <w:ind w:firstLine="600"/>
        <w:textAlignment w:val="auto"/>
      </w:pPr>
      <w:r>
        <w:rPr>
          <w:rFonts w:hint="eastAsia"/>
        </w:rPr>
        <w:t>深化工业废气污染治理，推进工业园区集中供热和煤改气等环保综合提升工程，建设和完善热网工程，强化对典型行业企业污染源动态监测和综合整治。开展大气污染综合整治行动，强化施工扬尘、工业烟尘、城市餐饮油烟整治，严格控制污染移动源以及农村秸秆露天焚烧，建立生态保护型人工影响天气作业，健全各部门协调联动的长效监管机制。大力实施“增绿”行动，夯实近郊林地、城乡绿地建设，提升大气净化能力。</w:t>
      </w:r>
    </w:p>
    <w:p>
      <w:pPr>
        <w:pStyle w:val="5"/>
        <w:pageBreakBefore w:val="0"/>
        <w:kinsoku/>
        <w:wordWrap/>
        <w:overflowPunct/>
        <w:topLinePunct w:val="0"/>
        <w:autoSpaceDE/>
        <w:autoSpaceDN/>
        <w:bidi w:val="0"/>
        <w:spacing w:line="600" w:lineRule="exact"/>
        <w:ind w:firstLine="602"/>
        <w:textAlignment w:val="auto"/>
      </w:pPr>
      <w:r>
        <w:rPr>
          <w:rFonts w:hint="eastAsia"/>
        </w:rPr>
        <w:t>二、实施碧水工程</w:t>
      </w:r>
    </w:p>
    <w:p>
      <w:pPr>
        <w:pageBreakBefore w:val="0"/>
        <w:kinsoku/>
        <w:wordWrap/>
        <w:overflowPunct/>
        <w:topLinePunct w:val="0"/>
        <w:autoSpaceDE/>
        <w:autoSpaceDN/>
        <w:bidi w:val="0"/>
        <w:spacing w:line="600" w:lineRule="exact"/>
        <w:ind w:firstLine="600"/>
        <w:textAlignment w:val="auto"/>
      </w:pPr>
      <w:r>
        <w:rPr>
          <w:rFonts w:hint="eastAsia"/>
        </w:rPr>
        <w:t>深化“河湖长制”改革，持续实施“一河一策”，探索“智慧管控”模式，建立市级“河湖长</w:t>
      </w:r>
      <w:r>
        <w:rPr>
          <w:rFonts w:ascii="仿宋_GB2312"/>
        </w:rPr>
        <w:t>+</w:t>
      </w:r>
      <w:r>
        <w:rPr>
          <w:rFonts w:hint="eastAsia"/>
        </w:rPr>
        <w:t>检察长”协同工作机制。推动“点线面”水污染防治，加强工业污染防治、城乡生活污水整治、畜禽养殖污染严治、种植业污染控制。加快推进水环境治理，有序推进“两江三溪”重点流域综合整治，持续实施黑臭水体治理工程，加强饮用水水源地保护，实施水环境质量目标管理，基本消除县级以上城市建成区黑臭水体。积极引导社会资本以新模式参与水治理项目。开展地下水环境状况调查，建立全市地下水环境监测网及环境监测信息平台。</w:t>
      </w:r>
    </w:p>
    <w:p>
      <w:pPr>
        <w:pStyle w:val="5"/>
        <w:pageBreakBefore w:val="0"/>
        <w:kinsoku/>
        <w:wordWrap/>
        <w:overflowPunct/>
        <w:topLinePunct w:val="0"/>
        <w:autoSpaceDE/>
        <w:autoSpaceDN/>
        <w:bidi w:val="0"/>
        <w:spacing w:line="600" w:lineRule="exact"/>
        <w:ind w:firstLine="602"/>
        <w:textAlignment w:val="auto"/>
      </w:pPr>
      <w:r>
        <w:rPr>
          <w:rFonts w:hint="eastAsia"/>
        </w:rPr>
        <w:t>三、实施碧海工程</w:t>
      </w:r>
    </w:p>
    <w:p>
      <w:pPr>
        <w:pageBreakBefore w:val="0"/>
        <w:kinsoku/>
        <w:wordWrap/>
        <w:overflowPunct/>
        <w:topLinePunct w:val="0"/>
        <w:autoSpaceDE/>
        <w:autoSpaceDN/>
        <w:bidi w:val="0"/>
        <w:spacing w:line="600" w:lineRule="exact"/>
        <w:ind w:firstLine="600"/>
        <w:textAlignment w:val="auto"/>
        <w:rPr>
          <w:rFonts w:hint="eastAsia" w:ascii="仿宋_GB2312" w:eastAsia="仿宋_GB2312"/>
          <w:lang w:eastAsia="zh-CN"/>
        </w:rPr>
      </w:pPr>
      <w:r>
        <w:rPr>
          <w:rFonts w:hint="eastAsia" w:ascii="仿宋_GB2312"/>
        </w:rPr>
        <w:t>持续推动三都澳海域水环境“1+N”综合整治，巩固海上养殖综合治理成果，抓好内湾环保塑胶网箱升级改造。推动渔业生产由粗放型向生态型转变。建立多部门联合监测、执法的“河海联动”监管体系，全面推动入海排污口整治，加强三都澳海域环境综合治理。开展三都澳海岸带生态保护修复行动。实施滨海湿地保护工程，推进宁德环三都澳湿地水禽红树林自然保护区建设，建设东部沿海优质生态带。实施海岸线整治修复工程，重点推进海岸线环境整治、海岸形态修复和海岸防护能力提升。建立三都澳生态环境保护长效机制，探索构建“湾长制”分级管理体系，推行“一湾一策”和清单式管理，建立日常监管巡查机制。</w:t>
      </w:r>
      <w:r>
        <w:rPr>
          <w:rFonts w:hint="eastAsia" w:ascii="仿宋_GB2312"/>
          <w:lang w:eastAsia="zh-CN"/>
        </w:rPr>
        <w:t>推进海上环卫工作，深化海漂垃圾综合治理行动。</w:t>
      </w:r>
    </w:p>
    <w:p>
      <w:pPr>
        <w:pStyle w:val="5"/>
        <w:pageBreakBefore w:val="0"/>
        <w:kinsoku/>
        <w:wordWrap/>
        <w:overflowPunct/>
        <w:topLinePunct w:val="0"/>
        <w:autoSpaceDE/>
        <w:autoSpaceDN/>
        <w:bidi w:val="0"/>
        <w:spacing w:line="600" w:lineRule="exact"/>
        <w:ind w:firstLine="602"/>
        <w:textAlignment w:val="auto"/>
      </w:pPr>
      <w:r>
        <w:rPr>
          <w:rFonts w:hint="eastAsia"/>
        </w:rPr>
        <w:t>四、实施净土工程</w:t>
      </w:r>
    </w:p>
    <w:p>
      <w:pPr>
        <w:pageBreakBefore w:val="0"/>
        <w:kinsoku/>
        <w:wordWrap/>
        <w:overflowPunct/>
        <w:topLinePunct w:val="0"/>
        <w:autoSpaceDE/>
        <w:autoSpaceDN/>
        <w:bidi w:val="0"/>
        <w:spacing w:line="600" w:lineRule="exact"/>
        <w:ind w:firstLine="600"/>
        <w:textAlignment w:val="auto"/>
      </w:pPr>
      <w:r>
        <w:rPr>
          <w:rFonts w:hint="eastAsia"/>
        </w:rPr>
        <w:t>开展工业企业土地污染防治攻坚行动，定期对土壤重点监管企业实施土壤环境监测。开展废弃物污染防治攻坚行动，加快建成污泥处置中心、餐厨垃圾处理厂，提高固体废物、危险废物和医疗废物处置能力。强化各类用地土壤保护，实施化肥农药使用量零增长行动和地力提升工程，推进农用地土壤保护。鼓励养殖废弃物集中资源化利用，发展“生态养殖”，推动养殖用地土壤保护。强化建设用地污染风险重点管控，完善污染地块跨部门联动监管机制，加大建设用地土壤保护力度。</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716" w:name="_Toc9743"/>
      <w:bookmarkStart w:id="717" w:name="_Toc4778"/>
      <w:bookmarkStart w:id="718" w:name="_Toc18610"/>
      <w:bookmarkStart w:id="719" w:name="_Toc21700"/>
      <w:bookmarkStart w:id="720" w:name="_Toc9502"/>
      <w:bookmarkStart w:id="721" w:name="_Toc25845"/>
      <w:bookmarkStart w:id="722" w:name="_Toc61117385"/>
      <w:bookmarkStart w:id="723" w:name="_Toc10476"/>
      <w:bookmarkStart w:id="724" w:name="_Toc12848"/>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第三节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发展绿色低碳循环经济</w:t>
      </w:r>
      <w:bookmarkEnd w:id="716"/>
      <w:bookmarkEnd w:id="717"/>
      <w:bookmarkEnd w:id="718"/>
      <w:bookmarkEnd w:id="719"/>
      <w:bookmarkEnd w:id="720"/>
      <w:bookmarkEnd w:id="721"/>
      <w:bookmarkEnd w:id="722"/>
      <w:bookmarkEnd w:id="723"/>
      <w:bookmarkEnd w:id="724"/>
    </w:p>
    <w:p>
      <w:pPr>
        <w:pageBreakBefore w:val="0"/>
        <w:kinsoku/>
        <w:wordWrap/>
        <w:overflowPunct/>
        <w:topLinePunct w:val="0"/>
        <w:autoSpaceDE/>
        <w:autoSpaceDN/>
        <w:bidi w:val="0"/>
        <w:spacing w:line="600" w:lineRule="exact"/>
        <w:ind w:firstLine="600"/>
        <w:textAlignment w:val="auto"/>
        <w:rPr>
          <w:rFonts w:hint="eastAsia" w:ascii="仿宋_GB2312"/>
        </w:rPr>
      </w:pP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践行绿色发展理念，优化环境资源配置，推动产业绿色化转型升级，积极探索生态优势转换途径，倡导绿色生活方式，加快发展绿色低碳循环经济，探索实现2030年碳达峰、2060年碳中和目标的“宁德方案”。</w:t>
      </w:r>
    </w:p>
    <w:p>
      <w:pPr>
        <w:pStyle w:val="5"/>
        <w:pageBreakBefore w:val="0"/>
        <w:kinsoku/>
        <w:wordWrap/>
        <w:overflowPunct/>
        <w:topLinePunct w:val="0"/>
        <w:autoSpaceDE/>
        <w:autoSpaceDN/>
        <w:bidi w:val="0"/>
        <w:spacing w:line="600" w:lineRule="exact"/>
        <w:ind w:firstLine="602"/>
        <w:textAlignment w:val="auto"/>
      </w:pPr>
      <w:r>
        <w:rPr>
          <w:rFonts w:hint="eastAsia"/>
        </w:rPr>
        <w:t>一、全面提升资源利用效率</w:t>
      </w:r>
    </w:p>
    <w:p>
      <w:pPr>
        <w:pageBreakBefore w:val="0"/>
        <w:kinsoku/>
        <w:wordWrap/>
        <w:overflowPunct/>
        <w:topLinePunct w:val="0"/>
        <w:autoSpaceDE/>
        <w:autoSpaceDN/>
        <w:bidi w:val="0"/>
        <w:spacing w:line="600" w:lineRule="exact"/>
        <w:ind w:firstLine="600"/>
        <w:textAlignment w:val="auto"/>
      </w:pPr>
      <w:r>
        <w:rPr>
          <w:rFonts w:hint="eastAsia"/>
        </w:rPr>
        <w:t>实施最严格的水资源管理制度，开展水资源消耗总量和强度双控行动，推进农业灌溉、城市公共用水、工业用水等领域节水行动，建设节水型社会。实行能耗总量和强度“双控”，持续推进煤炭清洁利用，大力实施煤改气工程，加快建设天然气支线管网，进一步提高全市管道天然气的供气覆盖面。因地制宜发展风能、太阳能、生物质能等非化石能源，推进天然气、光伏等分布式能源系统的推广应用，实现能源清洁低碳安全高效利用。强化土地资源用途管控，推广应用节地技术和模式，推进空间换地和城镇低效用地开发。</w:t>
      </w:r>
    </w:p>
    <w:p>
      <w:pPr>
        <w:pStyle w:val="5"/>
        <w:pageBreakBefore w:val="0"/>
        <w:kinsoku/>
        <w:wordWrap/>
        <w:overflowPunct/>
        <w:topLinePunct w:val="0"/>
        <w:autoSpaceDE/>
        <w:autoSpaceDN/>
        <w:bidi w:val="0"/>
        <w:spacing w:line="600" w:lineRule="exact"/>
        <w:ind w:firstLine="602"/>
        <w:textAlignment w:val="auto"/>
      </w:pPr>
      <w:r>
        <w:rPr>
          <w:rFonts w:hint="eastAsia"/>
        </w:rPr>
        <w:t>二、加快构建绿色产业体系</w:t>
      </w:r>
    </w:p>
    <w:p>
      <w:pPr>
        <w:pageBreakBefore w:val="0"/>
        <w:kinsoku/>
        <w:wordWrap/>
        <w:overflowPunct/>
        <w:topLinePunct w:val="0"/>
        <w:autoSpaceDE/>
        <w:autoSpaceDN/>
        <w:bidi w:val="0"/>
        <w:spacing w:line="600" w:lineRule="exact"/>
        <w:ind w:firstLine="600"/>
        <w:textAlignment w:val="auto"/>
      </w:pPr>
      <w:r>
        <w:rPr>
          <w:rFonts w:hint="eastAsia"/>
        </w:rPr>
        <w:t>推进清洁生产技术改造及应用，定期对钢铁、铜冶炼、专业电镀等重点产业企业开展清洁生产审核。优化产业园区空间布局，实现产业废物资源化利用、能量梯级利用、废水循环利用和污染物集中处理，建设一批企业循环经济示范点及绿色园区试点，提高企业用能绿色能源占比。推动锂电新能源产业进军储能、太阳能发电领域，助力煤、石油等能源替代。围绕电机电器、食品加工、船舶修造、冶金特钢等传统产业，综合运用环保、技术、安全、质量、能耗等标准体系，加快淘汰落后产能。推动低碳无污染的现代物流、研发设计、法律金融、电子商务、旅游、体育、健康养老等绿色产业发展，推进产业生态化和生态产业化。严控新上高污染、高耗能、高排放、低效益项目，提高产业集约化、绿色化水平。</w:t>
      </w:r>
    </w:p>
    <w:p>
      <w:pPr>
        <w:pStyle w:val="5"/>
        <w:pageBreakBefore w:val="0"/>
        <w:kinsoku/>
        <w:wordWrap/>
        <w:overflowPunct/>
        <w:topLinePunct w:val="0"/>
        <w:autoSpaceDE/>
        <w:autoSpaceDN/>
        <w:bidi w:val="0"/>
        <w:spacing w:line="600" w:lineRule="exact"/>
        <w:ind w:firstLine="602"/>
        <w:textAlignment w:val="auto"/>
      </w:pPr>
      <w:r>
        <w:rPr>
          <w:rFonts w:hint="eastAsia"/>
        </w:rPr>
        <w:t>三、探索生态优势转换路径</w:t>
      </w:r>
    </w:p>
    <w:p>
      <w:pPr>
        <w:pageBreakBefore w:val="0"/>
        <w:kinsoku/>
        <w:wordWrap/>
        <w:overflowPunct/>
        <w:topLinePunct w:val="0"/>
        <w:autoSpaceDE/>
        <w:autoSpaceDN/>
        <w:bidi w:val="0"/>
        <w:spacing w:line="600" w:lineRule="exact"/>
        <w:ind w:firstLine="600"/>
        <w:textAlignment w:val="auto"/>
      </w:pPr>
      <w:r>
        <w:rPr>
          <w:rFonts w:hint="eastAsia"/>
        </w:rPr>
        <w:t>开展生态产品市场化改革，建立分等级定价、评估的生态资源核算体系。优化生态资产管理机制，健全生态资源资产负债表制度，推进自然资源信息化融合，绘制自然资源资产管理“一张图”，加强自然资源调查评价监测和确权登记。完善市场化、多元化综合生态补偿机制，深化用能权、排污权、碳排放出让交易等制度改革，建立生态产品市场化及价值实现机制，探索政府、集体、企业和个人共同参与的多元化融资机制。加大国家重点生态功能区、生态文明建设示范县的财政转移支付资金扶持力度。</w:t>
      </w:r>
    </w:p>
    <w:p>
      <w:pPr>
        <w:pStyle w:val="5"/>
        <w:pageBreakBefore w:val="0"/>
        <w:kinsoku/>
        <w:wordWrap/>
        <w:overflowPunct/>
        <w:topLinePunct w:val="0"/>
        <w:autoSpaceDE/>
        <w:autoSpaceDN/>
        <w:bidi w:val="0"/>
        <w:spacing w:line="600" w:lineRule="exact"/>
        <w:ind w:firstLine="602"/>
        <w:textAlignment w:val="auto"/>
      </w:pPr>
      <w:r>
        <w:rPr>
          <w:rFonts w:hint="eastAsia"/>
        </w:rPr>
        <w:t>四、积极推行绿色生活方式</w:t>
      </w:r>
    </w:p>
    <w:p>
      <w:pPr>
        <w:pageBreakBefore w:val="0"/>
        <w:kinsoku/>
        <w:wordWrap/>
        <w:overflowPunct/>
        <w:topLinePunct w:val="0"/>
        <w:autoSpaceDE/>
        <w:autoSpaceDN/>
        <w:bidi w:val="0"/>
        <w:spacing w:line="600" w:lineRule="exact"/>
        <w:ind w:firstLine="600"/>
        <w:textAlignment w:val="auto"/>
      </w:pPr>
      <w:r>
        <w:rPr>
          <w:rFonts w:hint="eastAsia"/>
        </w:rPr>
        <w:t>落实绿色生活创建行动计划，积极创建绿色生活示范区。发挥党政机关表率作用，创建节约型机关。引导家庭节能减排，树立一批“绿色家庭”典型。开展绿色校园创建活动，提升师生生态文明意识。以城市社区为创建对象，实现社区生活垃圾分类全覆盖。提升绿色出行比例及绿色出行服务满意率。积极创建绿色商场，鼓励绿色消费、提供绿色服务，力争绿色商场创建工作走在全省前列。加快提升新建城镇建筑中绿色建筑面积，增加绿色建筑占比。</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仿宋_GB2312" w:hAnsi="楷体" w:cs="楷体"/>
                <w:szCs w:val="30"/>
              </w:rPr>
            </w:pPr>
            <w:r>
              <w:rPr>
                <w:rFonts w:hint="eastAsia" w:ascii="仿宋_GB2312" w:hAnsi="楷体" w:cs="楷体"/>
                <w:b/>
                <w:bCs/>
                <w:szCs w:val="30"/>
              </w:rPr>
              <w:t>专栏10</w:t>
            </w:r>
            <w:r>
              <w:rPr>
                <w:rFonts w:ascii="仿宋_GB2312" w:hAnsi="楷体" w:cs="楷体"/>
                <w:b/>
                <w:bCs/>
                <w:szCs w:val="30"/>
              </w:rPr>
              <w:t>-</w:t>
            </w:r>
            <w:r>
              <w:rPr>
                <w:rFonts w:hint="eastAsia" w:ascii="仿宋_GB2312" w:hAnsi="楷体" w:cs="楷体"/>
                <w:b/>
                <w:bCs/>
                <w:szCs w:val="30"/>
              </w:rPr>
              <w:t>3：工业生产循环利用改造工程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仿宋_GB2312" w:cs="仿宋_GB2312"/>
                <w:bCs/>
                <w:sz w:val="24"/>
                <w:szCs w:val="24"/>
              </w:rPr>
            </w:pPr>
            <w:r>
              <w:rPr>
                <w:rFonts w:hint="eastAsia" w:ascii="仿宋_GB2312" w:hAnsi="楷体" w:cs="宋体"/>
                <w:bCs/>
                <w:sz w:val="24"/>
                <w:szCs w:val="24"/>
              </w:rPr>
              <w:t>率先在不锈钢、铜、锂电新能源等能耗较高的工业园区开展“四节一利用”工作（节能、节水、节材、节地、资源综合利用），加大园区清洁生产审核力度，加强园区固定资产投资项目节能评估和审查，促进园区源头减量。对接宁德市新能源产业，积极推广节能设备和技术，鼓励开展多种方式的能源梯级利用，提高清洁能源比例。建设园区废物交换平台，搭建循环经济信息和服务平台，开展从清洁生产到末端治理的全过程环保数据采集、实时监控及报警，实现能源资源的优化调度、平衡预测和节能管理。</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725" w:name="_Toc61117386"/>
      <w:bookmarkStart w:id="726" w:name="_Toc6551"/>
      <w:bookmarkStart w:id="727" w:name="_Toc32655"/>
      <w:bookmarkStart w:id="728" w:name="_Toc28847"/>
      <w:bookmarkStart w:id="729" w:name="_Toc10748"/>
      <w:bookmarkStart w:id="730" w:name="_Toc11981"/>
      <w:bookmarkStart w:id="731" w:name="_Toc23810"/>
      <w:bookmarkStart w:id="732" w:name="_Toc2028"/>
      <w:bookmarkStart w:id="733" w:name="_Toc20847"/>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第四节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深化国家生态文明试验区建设</w:t>
      </w:r>
      <w:bookmarkEnd w:id="725"/>
      <w:bookmarkEnd w:id="726"/>
      <w:bookmarkEnd w:id="727"/>
      <w:bookmarkEnd w:id="728"/>
      <w:bookmarkEnd w:id="729"/>
      <w:bookmarkEnd w:id="730"/>
      <w:bookmarkEnd w:id="731"/>
      <w:bookmarkEnd w:id="732"/>
      <w:bookmarkEnd w:id="733"/>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深入实施生态立市战略，加快推动生态环境治理体系和治理能力现代化，构建多元参与、激励约束并重、系统完整的宁德特色生态文明制度体系，确保生态环境质量全省持续领先。</w:t>
      </w:r>
    </w:p>
    <w:p>
      <w:pPr>
        <w:pStyle w:val="5"/>
        <w:pageBreakBefore w:val="0"/>
        <w:kinsoku/>
        <w:wordWrap/>
        <w:overflowPunct/>
        <w:topLinePunct w:val="0"/>
        <w:autoSpaceDE/>
        <w:autoSpaceDN/>
        <w:bidi w:val="0"/>
        <w:spacing w:line="600" w:lineRule="exact"/>
        <w:ind w:firstLine="602"/>
        <w:textAlignment w:val="auto"/>
      </w:pPr>
      <w:r>
        <w:rPr>
          <w:rFonts w:hint="eastAsia"/>
        </w:rPr>
        <w:t>一、加大生态环境监测力度</w:t>
      </w:r>
    </w:p>
    <w:p>
      <w:pPr>
        <w:pageBreakBefore w:val="0"/>
        <w:kinsoku/>
        <w:wordWrap/>
        <w:overflowPunct/>
        <w:topLinePunct w:val="0"/>
        <w:autoSpaceDE/>
        <w:autoSpaceDN/>
        <w:bidi w:val="0"/>
        <w:spacing w:line="600" w:lineRule="exact"/>
        <w:ind w:firstLine="600"/>
        <w:textAlignment w:val="auto"/>
      </w:pPr>
      <w:r>
        <w:rPr>
          <w:rFonts w:hint="eastAsia"/>
        </w:rPr>
        <w:t>打造网格精准化统一监管新模式，推进生态环境大数据建设，实现跨区域、跨部门环境信息沟通，强化多污染物协同控制和区域协同治理，加强细颗粒物和臭氧协同控制。完善突发生态环境事件信息报告和公开机制，推进市县生态环境监测预警设施建设，逐步实现环境监测由理化监测向生物监测、生态监测拓展。拓宽多元化公众参与渠道，及时反馈公众关注的环保热点，严厉打击破坏环境资源的违法犯罪行为。</w:t>
      </w:r>
    </w:p>
    <w:p>
      <w:pPr>
        <w:pStyle w:val="5"/>
        <w:pageBreakBefore w:val="0"/>
        <w:kinsoku/>
        <w:wordWrap/>
        <w:overflowPunct/>
        <w:topLinePunct w:val="0"/>
        <w:autoSpaceDE/>
        <w:autoSpaceDN/>
        <w:bidi w:val="0"/>
        <w:spacing w:line="600" w:lineRule="exact"/>
        <w:ind w:firstLine="602"/>
        <w:textAlignment w:val="auto"/>
      </w:pPr>
      <w:r>
        <w:rPr>
          <w:rFonts w:hint="eastAsia"/>
        </w:rPr>
        <w:t>二、推动生态文明体制集成化改革</w:t>
      </w:r>
    </w:p>
    <w:p>
      <w:pPr>
        <w:pageBreakBefore w:val="0"/>
        <w:kinsoku/>
        <w:wordWrap/>
        <w:overflowPunct/>
        <w:topLinePunct w:val="0"/>
        <w:autoSpaceDE/>
        <w:autoSpaceDN/>
        <w:bidi w:val="0"/>
        <w:spacing w:line="600" w:lineRule="exact"/>
        <w:ind w:firstLine="600"/>
        <w:textAlignment w:val="auto"/>
      </w:pPr>
      <w:r>
        <w:rPr>
          <w:rFonts w:hint="eastAsia"/>
        </w:rPr>
        <w:t>加快推动数字生态建设，以数字化赋能生态文明体制集成化改革。加快生态系统价值核算、自然资源产权、生态补偿、生态环境监测等信息的数字化集成，强化分项改革间的内在联动，推动改革成效常态化、稳定化。推进关联性较强的改革协同并进，进一步完善改革配套体系和规范技术标准，形成并推广宁德生态文明体制集成化改革示范经验。</w:t>
      </w:r>
    </w:p>
    <w:p>
      <w:pPr>
        <w:pStyle w:val="5"/>
        <w:pageBreakBefore w:val="0"/>
        <w:kinsoku/>
        <w:wordWrap/>
        <w:overflowPunct/>
        <w:topLinePunct w:val="0"/>
        <w:autoSpaceDE/>
        <w:autoSpaceDN/>
        <w:bidi w:val="0"/>
        <w:spacing w:line="600" w:lineRule="exact"/>
        <w:ind w:firstLine="602"/>
        <w:textAlignment w:val="auto"/>
      </w:pPr>
      <w:r>
        <w:rPr>
          <w:rFonts w:hint="eastAsia"/>
        </w:rPr>
        <w:t>三、健全生态文明考核制度</w:t>
      </w:r>
    </w:p>
    <w:p>
      <w:pPr>
        <w:pageBreakBefore w:val="0"/>
        <w:kinsoku/>
        <w:wordWrap/>
        <w:overflowPunct/>
        <w:topLinePunct w:val="0"/>
        <w:autoSpaceDE/>
        <w:autoSpaceDN/>
        <w:bidi w:val="0"/>
        <w:spacing w:line="600" w:lineRule="exact"/>
        <w:ind w:firstLine="600"/>
        <w:textAlignment w:val="auto"/>
      </w:pPr>
      <w:r>
        <w:rPr>
          <w:rFonts w:hint="eastAsia"/>
        </w:rPr>
        <w:t>严守环境质量底线，健全完善生态文明建设目标考核制度。深化生态环境系统“上下联动</w:t>
      </w:r>
      <w:r>
        <w:rPr>
          <w:rFonts w:ascii="仿宋_GB2312"/>
        </w:rPr>
        <w:t>+</w:t>
      </w:r>
      <w:r>
        <w:rPr>
          <w:rFonts w:hint="eastAsia"/>
        </w:rPr>
        <w:t>交叉”巡察，落实党政领导生态环境保护目标责任制，全面实施领导干部自然资源资产和环境责任离任审计制度，健全生态司法保护机制，实行生态环境损害赔偿和终身问责制度。引入第三方开展生态文明建设评价机制，进一步强化生态文明建设目标责任考核结果的公布和应用。</w:t>
      </w:r>
    </w:p>
    <w:p>
      <w:pPr>
        <w:pageBreakBefore w:val="0"/>
        <w:kinsoku/>
        <w:wordWrap/>
        <w:overflowPunct/>
        <w:topLinePunct w:val="0"/>
        <w:autoSpaceDE/>
        <w:autoSpaceDN/>
        <w:bidi w:val="0"/>
        <w:spacing w:line="600" w:lineRule="exact"/>
        <w:ind w:firstLine="600"/>
        <w:textAlignment w:val="auto"/>
        <w:rPr>
          <w:rFonts w:ascii="仿宋_GB2312" w:cs="仿宋_GB2312"/>
          <w:szCs w:val="30"/>
        </w:rPr>
      </w:pPr>
      <w:r>
        <w:rPr>
          <w:rFonts w:ascii="仿宋_GB2312" w:cs="仿宋_GB2312"/>
          <w:szCs w:val="30"/>
        </w:rPr>
        <w:br w:type="page"/>
      </w:r>
    </w:p>
    <w:bookmarkEnd w:id="694"/>
    <w:bookmarkEnd w:id="695"/>
    <w:bookmarkEnd w:id="696"/>
    <w:bookmarkEnd w:id="697"/>
    <w:p>
      <w:pPr>
        <w:pStyle w:val="3"/>
        <w:pageBreakBefore w:val="0"/>
        <w:kinsoku/>
        <w:wordWrap/>
        <w:overflowPunct/>
        <w:topLinePunct w:val="0"/>
        <w:autoSpaceDE/>
        <w:autoSpaceDN/>
        <w:bidi w:val="0"/>
        <w:spacing w:line="600" w:lineRule="exact"/>
        <w:textAlignment w:val="auto"/>
        <w:rPr>
          <w:rFonts w:hint="eastAsia" w:ascii="黑体" w:hAnsi="黑体" w:eastAsia="黑体"/>
          <w:b w:val="0"/>
          <w:bCs w:val="0"/>
          <w:sz w:val="32"/>
          <w:szCs w:val="48"/>
        </w:rPr>
      </w:pPr>
      <w:bookmarkStart w:id="734" w:name="_Toc3869"/>
      <w:bookmarkStart w:id="735" w:name="_Toc11321"/>
      <w:bookmarkStart w:id="736" w:name="_Toc2006"/>
      <w:bookmarkStart w:id="737" w:name="_Toc48"/>
      <w:bookmarkStart w:id="738" w:name="_Toc28815"/>
      <w:bookmarkStart w:id="739" w:name="_Toc13691"/>
      <w:bookmarkStart w:id="740" w:name="_Toc12544"/>
      <w:bookmarkStart w:id="741" w:name="_Toc32438"/>
      <w:bookmarkStart w:id="742" w:name="_Toc61117387"/>
    </w:p>
    <w:p>
      <w:pPr>
        <w:pStyle w:val="3"/>
        <w:pageBreakBefore w:val="0"/>
        <w:kinsoku/>
        <w:wordWrap/>
        <w:overflowPunct/>
        <w:topLinePunct w:val="0"/>
        <w:autoSpaceDE/>
        <w:autoSpaceDN/>
        <w:bidi w:val="0"/>
        <w:spacing w:line="600" w:lineRule="exact"/>
        <w:textAlignment w:val="auto"/>
        <w:rPr>
          <w:rFonts w:ascii="黑体" w:hAnsi="黑体" w:eastAsia="黑体"/>
          <w:sz w:val="32"/>
          <w:szCs w:val="48"/>
        </w:rPr>
      </w:pPr>
      <w:r>
        <w:rPr>
          <w:rFonts w:hint="eastAsia" w:ascii="黑体" w:hAnsi="黑体" w:eastAsia="黑体"/>
          <w:b w:val="0"/>
          <w:bCs w:val="0"/>
          <w:sz w:val="32"/>
          <w:szCs w:val="48"/>
        </w:rPr>
        <w:t>第十一章</w:t>
      </w:r>
      <w:r>
        <w:rPr>
          <w:rFonts w:ascii="黑体" w:hAnsi="黑体" w:eastAsia="黑体"/>
          <w:b w:val="0"/>
          <w:bCs w:val="0"/>
          <w:sz w:val="32"/>
          <w:szCs w:val="48"/>
        </w:rPr>
        <w:t xml:space="preserve"> </w:t>
      </w:r>
      <w:r>
        <w:rPr>
          <w:rFonts w:hint="eastAsia" w:ascii="黑体" w:hAnsi="黑体" w:eastAsia="黑体"/>
          <w:b w:val="0"/>
          <w:bCs w:val="0"/>
          <w:sz w:val="32"/>
          <w:szCs w:val="48"/>
          <w:lang w:val="en-US" w:eastAsia="zh-CN"/>
        </w:rPr>
        <w:t xml:space="preserve"> </w:t>
      </w:r>
      <w:r>
        <w:rPr>
          <w:rFonts w:hint="eastAsia" w:ascii="黑体" w:hAnsi="黑体" w:eastAsia="黑体"/>
          <w:b w:val="0"/>
          <w:bCs w:val="0"/>
          <w:sz w:val="32"/>
          <w:szCs w:val="48"/>
        </w:rPr>
        <w:t>全面提升开放</w:t>
      </w:r>
      <w:bookmarkEnd w:id="734"/>
      <w:bookmarkEnd w:id="735"/>
      <w:bookmarkEnd w:id="736"/>
      <w:bookmarkEnd w:id="737"/>
      <w:bookmarkEnd w:id="738"/>
      <w:r>
        <w:rPr>
          <w:rFonts w:hint="eastAsia" w:ascii="黑体" w:hAnsi="黑体" w:eastAsia="黑体"/>
          <w:b w:val="0"/>
          <w:bCs w:val="0"/>
          <w:sz w:val="32"/>
          <w:szCs w:val="48"/>
        </w:rPr>
        <w:t>合作水平</w:t>
      </w:r>
      <w:bookmarkEnd w:id="739"/>
      <w:bookmarkEnd w:id="740"/>
      <w:bookmarkEnd w:id="741"/>
      <w:bookmarkEnd w:id="742"/>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坚持走好习近平总书记在宁德工作期间提出的对外开放和对内开放“双向开放”相结合的道路，提高全球产业链、供应链资源配置能力，强化区域合作，塑造开放合作和竞争新优势。</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743" w:name="_Toc18970"/>
      <w:bookmarkStart w:id="744" w:name="_Toc13151"/>
      <w:bookmarkStart w:id="745" w:name="_Toc14678"/>
      <w:bookmarkStart w:id="746" w:name="_Toc61117388"/>
      <w:bookmarkStart w:id="747" w:name="_Toc32614"/>
      <w:bookmarkStart w:id="748" w:name="_Toc6116"/>
      <w:bookmarkStart w:id="749" w:name="_Toc2058"/>
      <w:bookmarkStart w:id="750" w:name="_Toc28985"/>
      <w:bookmarkStart w:id="751" w:name="_Toc17701"/>
      <w:bookmarkStart w:id="752" w:name="_Toc14911"/>
      <w:bookmarkStart w:id="753" w:name="_Toc31282"/>
      <w:bookmarkStart w:id="754" w:name="_Toc7999"/>
      <w:bookmarkStart w:id="755" w:name="_Toc20000"/>
      <w:bookmarkStart w:id="756" w:name="_Toc57320185"/>
      <w:bookmarkStart w:id="757" w:name="_Toc55911870"/>
      <w:bookmarkStart w:id="758" w:name="_Toc57326032"/>
      <w:bookmarkStart w:id="759" w:name="_Toc55722901"/>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第一节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构建对外开放新格局</w:t>
      </w:r>
      <w:bookmarkEnd w:id="743"/>
      <w:bookmarkEnd w:id="744"/>
      <w:bookmarkEnd w:id="745"/>
      <w:bookmarkEnd w:id="746"/>
      <w:bookmarkEnd w:id="747"/>
      <w:bookmarkEnd w:id="748"/>
      <w:bookmarkEnd w:id="749"/>
      <w:bookmarkEnd w:id="750"/>
      <w:bookmarkEnd w:id="751"/>
      <w:bookmarkEnd w:id="752"/>
      <w:bookmarkEnd w:id="753"/>
      <w:bookmarkEnd w:id="754"/>
      <w:bookmarkEnd w:id="755"/>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以扩大口岸开放为支点，持续扩大港口腹地，提升宁德港口作为国际物流中转的服务能力。深度融入“一带一路”建设，提高产业链、供应链关键节点的掌控能力，扩大宁德产业在全球的影响力。</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一、建设区域航运中心</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依托镍、铁等大宗原料主产区分布，加强与雅加达、泗水等港口合作，在主要交通节点建设一批物流中心，提升面向东南亚的物流枢纽功能。构建多式联运平台，制定统一联运平台和标准，实现水、陆、空、铁多式联运“一站服务、一次托运、一票到底”，探索推进多式联运海关监管中心建设。积极与国内外知名航运企业开展战略合作，推动市属国企参与国际物流运营，强化对大宗原料和产成品国际物流的管控力。</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二、构建开放型大平台</w:t>
      </w:r>
    </w:p>
    <w:p>
      <w:pPr>
        <w:pageBreakBefore w:val="0"/>
        <w:kinsoku/>
        <w:wordWrap/>
        <w:overflowPunct/>
        <w:topLinePunct w:val="0"/>
        <w:autoSpaceDE/>
        <w:autoSpaceDN/>
        <w:bidi w:val="0"/>
        <w:spacing w:line="600" w:lineRule="exact"/>
        <w:ind w:firstLine="600"/>
        <w:textAlignment w:val="auto"/>
        <w:rPr>
          <w:rFonts w:ascii="仿宋_GB2312"/>
          <w:spacing w:val="-6"/>
          <w:szCs w:val="30"/>
        </w:rPr>
      </w:pPr>
      <w:r>
        <w:rPr>
          <w:rFonts w:hint="eastAsia" w:ascii="仿宋_GB2312"/>
          <w:spacing w:val="-6"/>
          <w:szCs w:val="30"/>
        </w:rPr>
        <w:t>争取申报设立综合保税区，复制推广福建自贸区和福厦泉国家自创区的改革创新经验。与印尼、菲律宾等国家联合建设跨境产业合作园，构建国际大宗原料加工贸易基地，提升宁德国际贸易、保税仓储、采购配送等综合功能。打造面向全球的大宗原料交易中心，汇聚大宗商品交易数据，形成宁德关键材料交易指数。积极构筑“海丝”招商引资平台，承办海丝投资贸易展览会，加强对“海丝”沿线国家的招商推介与项目促进力度，推动更多项目获得外国政府贷款。</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三、加速推动“宁造出境”</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支持宁德时代开拓“一带一路”沿线国家和地区储能市场。引导电机企业到缅甸、斯里兰卡、老挝等电力缺乏的国家建设境外生产基地，推动传统电机等产品就地生产销售。鼓励龙头企业通过并购、参股等模式，建设境外资源基地，实现矿产资源就地开发、冶炼、粗加工。推动重点产业上下游企业在境外设立营销网点、直销基地和交易中心，联合构建具有自主性的国际营销网络。继续办好海峡两岸电机电器博览会，与国外专业性服务机构合作，在“海丝”沿线重点国家设立出口产品国际采购展示中心，推广农产品、电机电器等特色产品。</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600"/>
              <w:jc w:val="center"/>
              <w:textAlignment w:val="auto"/>
              <w:rPr>
                <w:rFonts w:ascii="仿宋_GB2312" w:hAnsi="楷体" w:cs="楷体"/>
                <w:kern w:val="0"/>
                <w:szCs w:val="30"/>
              </w:rPr>
            </w:pPr>
            <w:r>
              <w:rPr>
                <w:rFonts w:hint="eastAsia" w:ascii="仿宋_GB2312" w:hAnsi="楷体" w:cs="楷体"/>
                <w:b/>
                <w:bCs/>
                <w:kern w:val="0"/>
                <w:szCs w:val="30"/>
              </w:rPr>
              <w:t>专栏11</w:t>
            </w:r>
            <w:r>
              <w:rPr>
                <w:rFonts w:ascii="仿宋_GB2312" w:hAnsi="楷体" w:cs="楷体"/>
                <w:b/>
                <w:bCs/>
                <w:kern w:val="0"/>
                <w:szCs w:val="30"/>
              </w:rPr>
              <w:t>-1</w:t>
            </w:r>
            <w:r>
              <w:rPr>
                <w:rFonts w:hint="eastAsia" w:ascii="仿宋_GB2312" w:hAnsi="楷体" w:cs="楷体"/>
                <w:b/>
                <w:bCs/>
                <w:kern w:val="0"/>
                <w:szCs w:val="30"/>
              </w:rPr>
              <w:t>：中国（宁德）大宗原料交易中心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0"/>
              <w:textAlignment w:val="auto"/>
              <w:rPr>
                <w:rFonts w:ascii="仿宋_GB2312" w:cs="仿宋_GB2312"/>
                <w:kern w:val="0"/>
                <w:szCs w:val="30"/>
              </w:rPr>
            </w:pPr>
            <w:r>
              <w:rPr>
                <w:rFonts w:hint="eastAsia" w:ascii="仿宋_GB2312" w:hAnsi="仿宋_GB2312" w:cs="仿宋_GB2312"/>
                <w:kern w:val="0"/>
                <w:sz w:val="24"/>
                <w:szCs w:val="24"/>
              </w:rPr>
              <w:t>围绕“铜精矿</w:t>
            </w:r>
            <w:r>
              <w:rPr>
                <w:rFonts w:ascii="仿宋_GB2312" w:hAnsi="仿宋_GB2312" w:cs="仿宋_GB2312"/>
                <w:kern w:val="0"/>
                <w:sz w:val="24"/>
                <w:szCs w:val="24"/>
              </w:rPr>
              <w:t>-</w:t>
            </w:r>
            <w:r>
              <w:rPr>
                <w:rFonts w:hint="eastAsia" w:ascii="仿宋_GB2312" w:hAnsi="仿宋_GB2312" w:cs="仿宋_GB2312"/>
                <w:kern w:val="0"/>
                <w:sz w:val="24"/>
                <w:szCs w:val="24"/>
              </w:rPr>
              <w:t>铜金属</w:t>
            </w:r>
            <w:r>
              <w:rPr>
                <w:rFonts w:ascii="仿宋_GB2312" w:hAnsi="仿宋_GB2312" w:cs="仿宋_GB2312"/>
                <w:kern w:val="0"/>
                <w:sz w:val="24"/>
                <w:szCs w:val="24"/>
              </w:rPr>
              <w:t>-</w:t>
            </w:r>
            <w:r>
              <w:rPr>
                <w:rFonts w:hint="eastAsia" w:ascii="仿宋_GB2312" w:hAnsi="仿宋_GB2312" w:cs="仿宋_GB2312"/>
                <w:kern w:val="0"/>
                <w:sz w:val="24"/>
                <w:szCs w:val="24"/>
              </w:rPr>
              <w:t>铜加工制品”、“镍（铬）铁</w:t>
            </w:r>
            <w:r>
              <w:rPr>
                <w:rFonts w:ascii="仿宋_GB2312" w:hAnsi="仿宋_GB2312" w:cs="仿宋_GB2312"/>
                <w:kern w:val="0"/>
                <w:sz w:val="24"/>
                <w:szCs w:val="24"/>
              </w:rPr>
              <w:t>-</w:t>
            </w:r>
            <w:r>
              <w:rPr>
                <w:rFonts w:hint="eastAsia" w:ascii="仿宋_GB2312" w:hAnsi="仿宋_GB2312" w:cs="仿宋_GB2312"/>
                <w:kern w:val="0"/>
                <w:sz w:val="24"/>
                <w:szCs w:val="24"/>
              </w:rPr>
              <w:t>不锈钢</w:t>
            </w:r>
            <w:r>
              <w:rPr>
                <w:rFonts w:ascii="仿宋_GB2312" w:hAnsi="仿宋_GB2312" w:cs="仿宋_GB2312"/>
                <w:kern w:val="0"/>
                <w:sz w:val="24"/>
                <w:szCs w:val="24"/>
              </w:rPr>
              <w:t>-</w:t>
            </w:r>
            <w:r>
              <w:rPr>
                <w:rFonts w:hint="eastAsia" w:ascii="仿宋_GB2312" w:hAnsi="仿宋_GB2312" w:cs="仿宋_GB2312"/>
                <w:kern w:val="0"/>
                <w:sz w:val="24"/>
                <w:szCs w:val="24"/>
              </w:rPr>
              <w:t>不锈钢制品”、“钴锂</w:t>
            </w:r>
            <w:r>
              <w:rPr>
                <w:rFonts w:ascii="仿宋_GB2312" w:hAnsi="仿宋_GB2312" w:cs="仿宋_GB2312"/>
                <w:kern w:val="0"/>
                <w:sz w:val="24"/>
                <w:szCs w:val="24"/>
              </w:rPr>
              <w:t>-</w:t>
            </w:r>
            <w:r>
              <w:rPr>
                <w:rFonts w:hint="eastAsia" w:ascii="仿宋_GB2312" w:hAnsi="仿宋_GB2312" w:cs="仿宋_GB2312"/>
                <w:kern w:val="0"/>
                <w:sz w:val="24"/>
                <w:szCs w:val="24"/>
              </w:rPr>
              <w:t>三元材料</w:t>
            </w:r>
            <w:r>
              <w:rPr>
                <w:rFonts w:ascii="仿宋_GB2312" w:hAnsi="仿宋_GB2312" w:cs="仿宋_GB2312"/>
                <w:kern w:val="0"/>
                <w:sz w:val="24"/>
                <w:szCs w:val="24"/>
              </w:rPr>
              <w:t>-</w:t>
            </w:r>
            <w:r>
              <w:rPr>
                <w:rFonts w:hint="eastAsia" w:ascii="仿宋_GB2312" w:hAnsi="仿宋_GB2312" w:cs="仿宋_GB2312"/>
                <w:kern w:val="0"/>
                <w:sz w:val="24"/>
                <w:szCs w:val="24"/>
              </w:rPr>
              <w:t>动力电池”三大有色金属产业链，稳步推进中国（宁德）大宗原料交易中心建设。积极引进江西、浙江等地有色金属加工企业，大力引进和培育一批有核心竞争力的贸易商、物流企业、投行，设立第三方监管仓库，建设具有保税功能的有色金属集散中心。逐步对接上海期货交易所，建设一批期货交割仓，建立全球镍、铜、铁等大宗原料行情分析与价格管控平台，培育形成上海期货交易所宁德分中心，打造全国有色金属优势品种流通行业的价格风向标与资源配置的关键节点。</w:t>
            </w:r>
          </w:p>
        </w:tc>
      </w:tr>
    </w:tbl>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四、构建开放型经济体制</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深度融合“一带一路”和海丝核心区建设，探索试行跨境双向外贸综合服务模式。深化通关一体化改革，推广国际“单一窗口”应用、“互联网</w:t>
      </w:r>
      <w:r>
        <w:rPr>
          <w:rFonts w:ascii="仿宋_GB2312"/>
          <w:szCs w:val="30"/>
        </w:rPr>
        <w:t>+</w:t>
      </w:r>
      <w:r>
        <w:rPr>
          <w:rFonts w:hint="eastAsia" w:ascii="仿宋_GB2312"/>
          <w:szCs w:val="30"/>
        </w:rPr>
        <w:t>预约通关”模式、多式联运“一单制”等创新举措，实行税收“一揽子”优惠政策，降低通关时间和运输成本。搭建全球投资贸易公共服务平台，完善跨部门合作机制，简化企业境外投资项目简化审批程序，强化企业海外扩张的资本、信息和专业技术支持。放宽外资企业注册资本、投资方式等限制，健全外商投资企业投诉办理等机制，加快吸引新能源汽车、教育、金融等领域的外资企业入驻。鼓励拥有先进技术和知名品牌的境外企业，通过并购、增资等方式，参与传统产业重组升级。</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760" w:name="_Toc29497"/>
      <w:bookmarkStart w:id="761" w:name="_Toc1312"/>
      <w:bookmarkStart w:id="762" w:name="_Toc1159"/>
      <w:bookmarkStart w:id="763" w:name="_Toc17351"/>
      <w:bookmarkStart w:id="764" w:name="_Toc6010"/>
      <w:bookmarkStart w:id="765" w:name="_Toc1096"/>
      <w:bookmarkStart w:id="766" w:name="_Toc5561"/>
      <w:bookmarkStart w:id="767" w:name="_Toc27458"/>
      <w:bookmarkStart w:id="768" w:name="_Toc764"/>
      <w:bookmarkStart w:id="769" w:name="_Toc17623"/>
      <w:bookmarkStart w:id="770" w:name="_Toc61117389"/>
      <w:bookmarkStart w:id="771" w:name="_Toc13488"/>
      <w:bookmarkStart w:id="772" w:name="_Toc2267"/>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第二节</w:t>
      </w:r>
      <w:r>
        <w:rPr>
          <w:rFonts w:ascii="楷体" w:hAnsi="楷体" w:eastAsia="楷体"/>
          <w:sz w:val="32"/>
          <w:szCs w:val="36"/>
        </w:rPr>
        <w:t xml:space="preserve"> </w:t>
      </w:r>
      <w:bookmarkEnd w:id="760"/>
      <w:bookmarkEnd w:id="761"/>
      <w:bookmarkEnd w:id="762"/>
      <w:bookmarkEnd w:id="763"/>
      <w:bookmarkEnd w:id="764"/>
      <w:bookmarkEnd w:id="765"/>
      <w:bookmarkEnd w:id="766"/>
      <w:bookmarkEnd w:id="767"/>
      <w:bookmarkEnd w:id="768"/>
      <w:r>
        <w:rPr>
          <w:rFonts w:hint="eastAsia" w:ascii="楷体" w:hAnsi="楷体" w:eastAsia="楷体"/>
          <w:sz w:val="32"/>
          <w:szCs w:val="36"/>
          <w:lang w:val="en-US" w:eastAsia="zh-CN"/>
        </w:rPr>
        <w:t xml:space="preserve"> </w:t>
      </w:r>
      <w:r>
        <w:rPr>
          <w:rFonts w:hint="eastAsia" w:ascii="楷体" w:hAnsi="楷体" w:eastAsia="楷体"/>
          <w:sz w:val="32"/>
          <w:szCs w:val="36"/>
        </w:rPr>
        <w:t>全面推动区域协同发展</w:t>
      </w:r>
      <w:bookmarkEnd w:id="769"/>
      <w:bookmarkEnd w:id="770"/>
      <w:bookmarkEnd w:id="771"/>
      <w:bookmarkEnd w:id="772"/>
    </w:p>
    <w:p>
      <w:pPr>
        <w:pageBreakBefore w:val="0"/>
        <w:kinsoku/>
        <w:wordWrap/>
        <w:overflowPunct/>
        <w:topLinePunct w:val="0"/>
        <w:autoSpaceDE/>
        <w:autoSpaceDN/>
        <w:bidi w:val="0"/>
        <w:spacing w:line="600" w:lineRule="exact"/>
        <w:ind w:firstLine="600"/>
        <w:textAlignment w:val="auto"/>
        <w:rPr>
          <w:rFonts w:hint="eastAsia" w:ascii="仿宋_GB2312"/>
          <w:color w:val="000000"/>
          <w:szCs w:val="30"/>
        </w:rPr>
      </w:pPr>
    </w:p>
    <w:p>
      <w:pPr>
        <w:pageBreakBefore w:val="0"/>
        <w:kinsoku/>
        <w:wordWrap/>
        <w:overflowPunct/>
        <w:topLinePunct w:val="0"/>
        <w:autoSpaceDE/>
        <w:autoSpaceDN/>
        <w:bidi w:val="0"/>
        <w:spacing w:line="600" w:lineRule="exact"/>
        <w:ind w:firstLine="600"/>
        <w:textAlignment w:val="auto"/>
        <w:rPr>
          <w:rFonts w:ascii="仿宋_GB2312"/>
          <w:color w:val="000000"/>
          <w:szCs w:val="30"/>
        </w:rPr>
      </w:pPr>
      <w:r>
        <w:rPr>
          <w:rFonts w:hint="eastAsia" w:ascii="仿宋_GB2312"/>
          <w:color w:val="000000"/>
          <w:szCs w:val="30"/>
        </w:rPr>
        <w:t>依托主导产业强大竞争力，“北上”接入长三角经济圈、浙南闽东合作发展区，“南下”融入闽东北、闽西南协同发展区和粤港澳大湾区，东出对接台湾，西进深入中西部地区，进一步拓展区域协同发展空间。</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color w:val="000000"/>
          <w:szCs w:val="30"/>
        </w:rPr>
      </w:pPr>
      <w:r>
        <w:rPr>
          <w:rFonts w:hint="eastAsia" w:ascii="仿宋_GB2312"/>
          <w:b/>
          <w:bCs/>
          <w:color w:val="000000"/>
          <w:szCs w:val="30"/>
        </w:rPr>
        <w:t>一、打造福建融入长三角桥头堡</w:t>
      </w:r>
    </w:p>
    <w:p>
      <w:pPr>
        <w:pageBreakBefore w:val="0"/>
        <w:kinsoku/>
        <w:wordWrap/>
        <w:overflowPunct/>
        <w:topLinePunct w:val="0"/>
        <w:autoSpaceDE/>
        <w:autoSpaceDN/>
        <w:bidi w:val="0"/>
        <w:spacing w:line="600" w:lineRule="exact"/>
        <w:ind w:firstLine="600"/>
        <w:textAlignment w:val="auto"/>
        <w:rPr>
          <w:rFonts w:ascii="仿宋_GB2312"/>
          <w:color w:val="000000"/>
          <w:szCs w:val="30"/>
        </w:rPr>
      </w:pPr>
      <w:r>
        <w:rPr>
          <w:rFonts w:hint="eastAsia" w:ascii="仿宋_GB2312"/>
          <w:color w:val="000000"/>
          <w:szCs w:val="30"/>
        </w:rPr>
        <w:t>探索在福鼎、柘荣、福安、寿宁建立长三角省际边界协同发展样板区，推动新能源汽车、生物医药、新材料、生态农业等领域融合发展。对接瑞安智能汽车新产业平台，培育引进一批智能网联汽车关键零部件项目。借力覆盖全国连接世界的温商网络，吸引温州华商投资，完善宁德产业海外营销网络。建立省际产业创新联盟，联合争取国家重大科技合作计划。共享民营企业高科技人才地图，促进专业技术人员跨省流动。强化生态环境互保共治，协同推进区域旅游资源开发，谋划若干条串“珠”成链的精品旅游线路。推进闽浙七县廊桥联合申遗，共同打造廊桥文化“金名片”。</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color w:val="000000"/>
          <w:szCs w:val="30"/>
        </w:rPr>
      </w:pPr>
      <w:r>
        <w:rPr>
          <w:rFonts w:hint="eastAsia" w:ascii="仿宋_GB2312"/>
          <w:b/>
          <w:bCs/>
          <w:color w:val="000000"/>
          <w:szCs w:val="30"/>
        </w:rPr>
        <w:t>二、积极融入闽东北协同发展区</w:t>
      </w:r>
    </w:p>
    <w:p>
      <w:pPr>
        <w:pageBreakBefore w:val="0"/>
        <w:kinsoku/>
        <w:wordWrap/>
        <w:overflowPunct/>
        <w:topLinePunct w:val="0"/>
        <w:autoSpaceDE/>
        <w:autoSpaceDN/>
        <w:bidi w:val="0"/>
        <w:spacing w:line="600" w:lineRule="exact"/>
        <w:ind w:firstLine="600"/>
        <w:textAlignment w:val="auto"/>
      </w:pPr>
      <w:r>
        <w:rPr>
          <w:rFonts w:hint="eastAsia"/>
        </w:rPr>
        <w:t>拓展与闽东北协同发展区其他城市多边和双边合作，推动铁路、高速公路等重大交通基础设施互联互通，加快实现区域交通一体化。统筹产业分工合作，延伸壮大产业链条，联手共建产业园区。深入对接福州新能源汽车、电子信息、高端装备制造等领域，共同打造一批产业集群和行业领军企业。扩大区域优质资源共享覆盖面，携手打造公共服务平台，实现教育、医疗、就业等领域资源共享。加强水源、大气、生态林保护等领域合作，共建共治共享良好生态环境。持续深化宁德龙头企业与福州大学、福建师范大学等高等院校、科研院所对接合作，积极争取福州国家重点实验室、工程（技术）研究中心等研发平台向宁德开放，建立产学研合作联盟。</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color w:val="000000"/>
          <w:szCs w:val="30"/>
        </w:rPr>
      </w:pPr>
      <w:r>
        <w:rPr>
          <w:rFonts w:hint="eastAsia" w:ascii="仿宋_GB2312"/>
          <w:b/>
          <w:bCs/>
          <w:color w:val="000000"/>
          <w:szCs w:val="30"/>
        </w:rPr>
        <w:t>三、构筑宁港澳合作新高地</w:t>
      </w:r>
      <w:r>
        <w:rPr>
          <w:rFonts w:ascii="仿宋_GB2312"/>
          <w:b/>
          <w:bCs/>
          <w:color w:val="000000"/>
          <w:szCs w:val="30"/>
        </w:rPr>
        <w:t xml:space="preserve"> </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建立宁港澳科技成果转移常态化通道，创建港澳（宁德）创投孵化中心，加速优质港澳投资项目在宁落地。推动宁德产业投资推介会常态化举办，吸引港澳社会服务机构来宁进行互动交流，鼓励港澳同胞回乡投资创业。深化与澳门金促会合作，建设澳门跨境电商大平台，推动宁德乃至福建农产品出口至澳门、葡语国家及东南亚各国市场。发挥港澳委员纽带作用，构建粤港澳企业家网络，嫁接先进理念、先进技术、雄厚资本和优秀人才。推动宁港澳企业家、青少年交流常态化，实施宁港澳青年交流计划，积极推介港澳青少年到宁德开展寻根、游学等活动。</w:t>
      </w:r>
    </w:p>
    <w:bookmarkEnd w:id="756"/>
    <w:bookmarkEnd w:id="757"/>
    <w:bookmarkEnd w:id="758"/>
    <w:bookmarkEnd w:id="759"/>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773" w:name="_Toc29795"/>
      <w:bookmarkStart w:id="774" w:name="_Toc23574"/>
      <w:bookmarkStart w:id="775" w:name="_Toc3043"/>
      <w:bookmarkStart w:id="776" w:name="_Toc15004"/>
      <w:bookmarkStart w:id="777" w:name="_Toc7481"/>
      <w:bookmarkStart w:id="778" w:name="_Toc7673"/>
      <w:bookmarkStart w:id="779" w:name="_Toc21710"/>
      <w:bookmarkStart w:id="780" w:name="_Toc26269"/>
      <w:bookmarkStart w:id="781" w:name="_Toc27627"/>
      <w:bookmarkStart w:id="782" w:name="_Toc17572"/>
      <w:bookmarkStart w:id="783" w:name="_Toc6141"/>
      <w:bookmarkStart w:id="784" w:name="_Toc31465"/>
      <w:bookmarkStart w:id="785" w:name="_Toc61117390"/>
      <w:bookmarkStart w:id="786" w:name="_Toc55911871"/>
      <w:bookmarkStart w:id="787" w:name="_Toc55722902"/>
      <w:bookmarkStart w:id="788" w:name="_Toc57320186"/>
      <w:bookmarkStart w:id="789" w:name="_Toc57326033"/>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第三节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探索宁台融合发展新路</w:t>
      </w:r>
      <w:bookmarkEnd w:id="773"/>
      <w:bookmarkEnd w:id="774"/>
      <w:bookmarkEnd w:id="775"/>
      <w:bookmarkEnd w:id="776"/>
      <w:bookmarkEnd w:id="777"/>
      <w:bookmarkEnd w:id="778"/>
      <w:bookmarkEnd w:id="779"/>
      <w:bookmarkEnd w:id="780"/>
      <w:bookmarkEnd w:id="781"/>
      <w:bookmarkEnd w:id="782"/>
      <w:bookmarkEnd w:id="783"/>
      <w:bookmarkEnd w:id="784"/>
      <w:bookmarkEnd w:id="785"/>
    </w:p>
    <w:p>
      <w:pPr>
        <w:pageBreakBefore w:val="0"/>
        <w:kinsoku/>
        <w:wordWrap/>
        <w:overflowPunct/>
        <w:topLinePunct w:val="0"/>
        <w:autoSpaceDE/>
        <w:autoSpaceDN/>
        <w:bidi w:val="0"/>
        <w:spacing w:line="600" w:lineRule="exact"/>
        <w:ind w:firstLine="600"/>
        <w:textAlignment w:val="auto"/>
        <w:rPr>
          <w:rFonts w:hint="eastAsia" w:ascii="仿宋_GB2312"/>
          <w:szCs w:val="30"/>
        </w:rPr>
      </w:pP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围绕探索海峡两岸融合发展新路的重大使命，深化宁台产业对接与技术合作，全面落实惠台政策保障，强化文化教育纽带功能，增进两岸青少年沟通，在全省建设台胞台企登陆“第一家园”中体现更大作为，为服务祖国统一大业作出宁德应有贡献。</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一、推动宁台产业深度对接</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加快三沙口岸开放建设，完善霞浦台湾水产品集散中心建设，打造台湾农渔产品交易中心，将三沙港区打造为对台农渔产品的重要出入口。创建闽台农业合作推广示范县，探索建设闽台农业融合发展产业园。吸引台湾百大企业加入四大主导产业生态圈，引进对接台湾现代农业、高端服务业。推广福建自贸区台企资本项下便利化试点政策，鼓励台资银行在宁设立分支机构，推进宁台合资证券项目。</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二、加快集聚台湾人才技术</w:t>
      </w:r>
    </w:p>
    <w:p>
      <w:pPr>
        <w:pageBreakBefore w:val="0"/>
        <w:kinsoku/>
        <w:wordWrap/>
        <w:overflowPunct/>
        <w:topLinePunct w:val="0"/>
        <w:autoSpaceDE/>
        <w:autoSpaceDN/>
        <w:bidi w:val="0"/>
        <w:spacing w:line="600" w:lineRule="exact"/>
        <w:ind w:firstLine="600"/>
        <w:textAlignment w:val="auto"/>
        <w:rPr>
          <w:rFonts w:ascii="仿宋_GB2312"/>
          <w:szCs w:val="30"/>
        </w:rPr>
      </w:pPr>
      <w:r>
        <w:rPr>
          <w:rFonts w:hint="eastAsia" w:ascii="仿宋_GB2312"/>
          <w:szCs w:val="30"/>
        </w:rPr>
        <w:t>坚持“非禁即享”，落实“两个同等待遇”，强化台胞台企权益保障。鼓励在宁台资企业建设新型研发机构，推动宁台合作建设高水平科研创新平台。聚焦电子信息、新能源、康养医疗、金融服务、新基建等领域，吸引更多台胞台企来宁投资创业。谋划建设台湾青年创新创业基地，构建台湾专家库。支持台湾投资者来宁投资设立教育医疗机构，鼓励台湾优秀教师医师来宁工作。鼓励台胞参与城市管理与乡村振兴建设，建设台胞参与社区建设管理试点，打造台胞参与古村落保护发展样板。</w:t>
      </w:r>
    </w:p>
    <w:p>
      <w:pPr>
        <w:keepNext/>
        <w:keepLines/>
        <w:pageBreakBefore w:val="0"/>
        <w:kinsoku/>
        <w:wordWrap/>
        <w:overflowPunct/>
        <w:topLinePunct w:val="0"/>
        <w:autoSpaceDE/>
        <w:autoSpaceDN/>
        <w:bidi w:val="0"/>
        <w:spacing w:line="600" w:lineRule="exact"/>
        <w:ind w:firstLine="602"/>
        <w:textAlignment w:val="auto"/>
        <w:outlineLvl w:val="2"/>
        <w:rPr>
          <w:rFonts w:ascii="仿宋_GB2312"/>
          <w:b/>
          <w:bCs/>
          <w:szCs w:val="30"/>
        </w:rPr>
      </w:pPr>
      <w:r>
        <w:rPr>
          <w:rFonts w:hint="eastAsia" w:ascii="仿宋_GB2312"/>
          <w:b/>
          <w:bCs/>
          <w:szCs w:val="30"/>
        </w:rPr>
        <w:t>三、强化宁台文化纽带</w:t>
      </w:r>
    </w:p>
    <w:p>
      <w:pPr>
        <w:pageBreakBefore w:val="0"/>
        <w:kinsoku/>
        <w:wordWrap/>
        <w:overflowPunct/>
        <w:topLinePunct w:val="0"/>
        <w:autoSpaceDE/>
        <w:autoSpaceDN/>
        <w:bidi w:val="0"/>
        <w:spacing w:line="600" w:lineRule="exact"/>
        <w:ind w:firstLine="600"/>
        <w:textAlignment w:val="auto"/>
        <w:rPr>
          <w:rFonts w:eastAsia="宋体"/>
          <w:b/>
          <w:bCs/>
          <w:kern w:val="44"/>
          <w:szCs w:val="44"/>
        </w:rPr>
      </w:pPr>
      <w:r>
        <w:rPr>
          <w:rFonts w:hint="eastAsia" w:ascii="仿宋_GB2312"/>
          <w:szCs w:val="30"/>
        </w:rPr>
        <w:t>抓好古田临水宫国家级海峡两岸交流基地建设，深化拓展陈靖姑文化、畲族文化、名人文化、茶文化等交流领域。积极参与海峡两岸（厦门）文化产业博览会，谋划建设宁台文化创意产业园区，重点发展工业设计、新媒体、创意休闲农业、电子商务等领域。在霞浦、福鼎等县（市）建设台湾美食城，推动古田、屏南与台湾开展旅游合作。支持宁德师范学院、宁德职业技术学院与台湾高校、职业院校开展交流合作。推进职业教育专业和课程的宁台双向认证，合作成立职业技能培训机构，共建产业工人基地。</w:t>
      </w:r>
      <w:bookmarkEnd w:id="786"/>
      <w:bookmarkEnd w:id="787"/>
      <w:bookmarkEnd w:id="788"/>
      <w:bookmarkEnd w:id="789"/>
    </w:p>
    <w:p>
      <w:pPr>
        <w:pageBreakBefore w:val="0"/>
        <w:kinsoku/>
        <w:wordWrap/>
        <w:overflowPunct/>
        <w:topLinePunct w:val="0"/>
        <w:autoSpaceDE/>
        <w:autoSpaceDN/>
        <w:bidi w:val="0"/>
        <w:spacing w:line="600" w:lineRule="exact"/>
        <w:ind w:firstLine="600"/>
        <w:textAlignment w:val="auto"/>
        <w:rPr>
          <w:rFonts w:ascii="仿宋_GB2312"/>
          <w:szCs w:val="30"/>
        </w:rPr>
      </w:pPr>
    </w:p>
    <w:p>
      <w:pPr>
        <w:pageBreakBefore w:val="0"/>
        <w:widowControl/>
        <w:kinsoku/>
        <w:wordWrap/>
        <w:overflowPunct/>
        <w:topLinePunct w:val="0"/>
        <w:autoSpaceDE/>
        <w:autoSpaceDN/>
        <w:bidi w:val="0"/>
        <w:spacing w:line="600" w:lineRule="exact"/>
        <w:ind w:firstLine="0" w:firstLineChars="0"/>
        <w:jc w:val="left"/>
        <w:textAlignment w:val="auto"/>
      </w:pPr>
      <w:r>
        <w:br w:type="page"/>
      </w:r>
    </w:p>
    <w:p>
      <w:pPr>
        <w:pageBreakBefore w:val="0"/>
        <w:widowControl/>
        <w:kinsoku/>
        <w:wordWrap/>
        <w:overflowPunct/>
        <w:topLinePunct w:val="0"/>
        <w:autoSpaceDE/>
        <w:autoSpaceDN/>
        <w:bidi w:val="0"/>
        <w:spacing w:line="600" w:lineRule="exact"/>
        <w:ind w:firstLine="0" w:firstLineChars="0"/>
        <w:jc w:val="left"/>
        <w:textAlignment w:val="auto"/>
      </w:pPr>
    </w:p>
    <w:p>
      <w:pPr>
        <w:pStyle w:val="3"/>
        <w:pageBreakBefore w:val="0"/>
        <w:numPr>
          <w:ilvl w:val="0"/>
          <w:numId w:val="8"/>
        </w:numPr>
        <w:kinsoku/>
        <w:wordWrap/>
        <w:overflowPunct/>
        <w:topLinePunct w:val="0"/>
        <w:autoSpaceDE/>
        <w:autoSpaceDN/>
        <w:bidi w:val="0"/>
        <w:spacing w:line="600" w:lineRule="exact"/>
        <w:textAlignment w:val="auto"/>
        <w:rPr>
          <w:rFonts w:hint="eastAsia" w:ascii="黑体" w:hAnsi="黑体" w:eastAsia="黑体"/>
          <w:b w:val="0"/>
          <w:bCs w:val="0"/>
          <w:sz w:val="32"/>
          <w:szCs w:val="48"/>
        </w:rPr>
      </w:pPr>
      <w:bookmarkStart w:id="790" w:name="_Toc57320202"/>
      <w:bookmarkStart w:id="791" w:name="_Toc58779750"/>
      <w:bookmarkStart w:id="792" w:name="_Toc57326049"/>
      <w:bookmarkStart w:id="793" w:name="_Toc23195"/>
      <w:bookmarkStart w:id="794" w:name="_Toc22449"/>
      <w:bookmarkStart w:id="795" w:name="_Toc31700"/>
      <w:bookmarkStart w:id="796" w:name="_Toc6084"/>
      <w:bookmarkStart w:id="797" w:name="_Toc32224"/>
      <w:bookmarkStart w:id="798" w:name="_Toc11184"/>
      <w:bookmarkStart w:id="799" w:name="_Toc5538"/>
      <w:bookmarkStart w:id="800" w:name="_Toc23511"/>
      <w:bookmarkStart w:id="801" w:name="_Toc6352"/>
      <w:bookmarkStart w:id="802" w:name="_Toc30410"/>
      <w:bookmarkStart w:id="803" w:name="_Toc61117391"/>
      <w:bookmarkStart w:id="804" w:name="_Toc23662"/>
      <w:bookmarkStart w:id="805" w:name="_Toc468"/>
      <w:bookmarkStart w:id="806" w:name="_Toc57320207"/>
      <w:bookmarkStart w:id="807" w:name="_Toc57326054"/>
      <w:r>
        <w:rPr>
          <w:rFonts w:ascii="黑体" w:hAnsi="黑体" w:eastAsia="黑体"/>
          <w:b w:val="0"/>
          <w:bCs w:val="0"/>
          <w:sz w:val="32"/>
          <w:szCs w:val="48"/>
        </w:rPr>
        <w:t xml:space="preserve"> </w:t>
      </w:r>
      <w:bookmarkEnd w:id="790"/>
      <w:bookmarkEnd w:id="791"/>
      <w:bookmarkEnd w:id="792"/>
      <w:r>
        <w:rPr>
          <w:rFonts w:hint="eastAsia" w:ascii="黑体" w:hAnsi="黑体" w:eastAsia="黑体"/>
          <w:b w:val="0"/>
          <w:bCs w:val="0"/>
          <w:sz w:val="32"/>
          <w:szCs w:val="48"/>
        </w:rPr>
        <w:t>建设更高品质幸福宁德</w:t>
      </w:r>
      <w:bookmarkEnd w:id="793"/>
      <w:bookmarkEnd w:id="794"/>
      <w:bookmarkEnd w:id="795"/>
      <w:bookmarkEnd w:id="796"/>
      <w:bookmarkEnd w:id="797"/>
      <w:bookmarkEnd w:id="798"/>
      <w:bookmarkEnd w:id="799"/>
      <w:bookmarkEnd w:id="800"/>
      <w:bookmarkEnd w:id="801"/>
      <w:bookmarkEnd w:id="802"/>
      <w:bookmarkEnd w:id="803"/>
      <w:bookmarkEnd w:id="804"/>
      <w:bookmarkEnd w:id="805"/>
    </w:p>
    <w:p>
      <w:pPr>
        <w:numPr>
          <w:ilvl w:val="0"/>
          <w:numId w:val="0"/>
        </w:numPr>
      </w:pPr>
    </w:p>
    <w:p>
      <w:pPr>
        <w:pageBreakBefore w:val="0"/>
        <w:widowControl w:val="0"/>
        <w:kinsoku/>
        <w:wordWrap/>
        <w:overflowPunct/>
        <w:topLinePunct w:val="0"/>
        <w:autoSpaceDE/>
        <w:autoSpaceDN/>
        <w:bidi w:val="0"/>
        <w:snapToGrid/>
        <w:spacing w:line="620" w:lineRule="exact"/>
        <w:ind w:firstLine="600"/>
        <w:textAlignment w:val="auto"/>
      </w:pPr>
      <w:r>
        <w:rPr>
          <w:rFonts w:hint="eastAsia"/>
        </w:rPr>
        <w:t>大力弘扬习近平总书记在宁德工作期间提出的“为群众办实事要扎扎实实、坚持不懈、久久为功”的好作风，推动高质量就业创业，办好人民满意的教育，加快“健康宁德”建设，构建多层次社会保障体系，全面提升基本公共服务能力，更好地满足人民群众日益增长的美好生活需要。</w:t>
      </w:r>
      <w:bookmarkStart w:id="808" w:name="_Toc58779751"/>
    </w:p>
    <w:p>
      <w:pPr>
        <w:pStyle w:val="4"/>
        <w:pageBreakBefore w:val="0"/>
        <w:widowControl w:val="0"/>
        <w:kinsoku/>
        <w:wordWrap/>
        <w:overflowPunct/>
        <w:topLinePunct w:val="0"/>
        <w:autoSpaceDE/>
        <w:autoSpaceDN/>
        <w:bidi w:val="0"/>
        <w:snapToGrid/>
        <w:spacing w:beforeLines="0" w:afterLines="0" w:line="620" w:lineRule="exact"/>
        <w:ind w:firstLine="0" w:firstLineChars="0"/>
        <w:textAlignment w:val="auto"/>
        <w:rPr>
          <w:rFonts w:hint="eastAsia" w:ascii="楷体" w:hAnsi="楷体" w:eastAsia="楷体"/>
          <w:sz w:val="32"/>
          <w:szCs w:val="36"/>
        </w:rPr>
      </w:pPr>
      <w:bookmarkStart w:id="809" w:name="_Toc6109"/>
      <w:bookmarkStart w:id="810" w:name="_Toc18998"/>
      <w:bookmarkStart w:id="811" w:name="_Toc26145"/>
      <w:bookmarkStart w:id="812" w:name="_Toc10788"/>
      <w:bookmarkStart w:id="813" w:name="_Toc3429"/>
      <w:bookmarkStart w:id="814" w:name="_Toc30570"/>
      <w:bookmarkStart w:id="815" w:name="_Toc13345"/>
      <w:bookmarkStart w:id="816" w:name="_Toc12826"/>
      <w:bookmarkStart w:id="817" w:name="_Toc29201"/>
      <w:bookmarkStart w:id="818" w:name="_Toc6296"/>
      <w:bookmarkStart w:id="819" w:name="_Toc3171"/>
      <w:bookmarkStart w:id="820" w:name="_Toc11652"/>
      <w:bookmarkStart w:id="821" w:name="_Toc61117392"/>
    </w:p>
    <w:p>
      <w:pPr>
        <w:pStyle w:val="4"/>
        <w:pageBreakBefore w:val="0"/>
        <w:widowControl w:val="0"/>
        <w:kinsoku/>
        <w:wordWrap/>
        <w:overflowPunct/>
        <w:topLinePunct w:val="0"/>
        <w:autoSpaceDE/>
        <w:autoSpaceDN/>
        <w:bidi w:val="0"/>
        <w:snapToGrid/>
        <w:spacing w:beforeLines="0" w:afterLines="0" w:line="620" w:lineRule="exact"/>
        <w:ind w:firstLine="0" w:firstLineChars="0"/>
        <w:textAlignment w:val="auto"/>
        <w:rPr>
          <w:rFonts w:ascii="楷体" w:hAnsi="楷体" w:eastAsia="楷体"/>
          <w:sz w:val="32"/>
          <w:szCs w:val="36"/>
        </w:rPr>
      </w:pPr>
      <w:r>
        <w:rPr>
          <w:rFonts w:hint="eastAsia" w:ascii="楷体" w:hAnsi="楷体" w:eastAsia="楷体"/>
          <w:sz w:val="32"/>
          <w:szCs w:val="36"/>
        </w:rPr>
        <w:t>第一节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多渠道促进居民持续增收</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p>
    <w:p>
      <w:pPr>
        <w:pageBreakBefore w:val="0"/>
        <w:widowControl w:val="0"/>
        <w:kinsoku/>
        <w:wordWrap/>
        <w:overflowPunct/>
        <w:topLinePunct w:val="0"/>
        <w:autoSpaceDE/>
        <w:autoSpaceDN/>
        <w:bidi w:val="0"/>
        <w:snapToGrid/>
        <w:spacing w:line="620" w:lineRule="exact"/>
        <w:ind w:firstLine="600"/>
        <w:textAlignment w:val="auto"/>
        <w:rPr>
          <w:rFonts w:hint="eastAsia"/>
        </w:rPr>
      </w:pPr>
    </w:p>
    <w:p>
      <w:pPr>
        <w:pageBreakBefore w:val="0"/>
        <w:widowControl w:val="0"/>
        <w:kinsoku/>
        <w:wordWrap/>
        <w:overflowPunct/>
        <w:topLinePunct w:val="0"/>
        <w:autoSpaceDE/>
        <w:autoSpaceDN/>
        <w:bidi w:val="0"/>
        <w:snapToGrid/>
        <w:spacing w:line="620" w:lineRule="exact"/>
        <w:ind w:firstLine="600"/>
        <w:textAlignment w:val="auto"/>
      </w:pPr>
      <w:r>
        <w:rPr>
          <w:rFonts w:hint="eastAsia"/>
        </w:rPr>
        <w:t>把稳定就业作为优先目标，把创新创业作为不竭动力，建设城乡一体化就业公共服务体系，优化创新创业政策环境，积极推动就业惠民、创业富民，多渠道促进居民增收。</w:t>
      </w:r>
    </w:p>
    <w:p>
      <w:pPr>
        <w:pStyle w:val="5"/>
        <w:pageBreakBefore w:val="0"/>
        <w:widowControl w:val="0"/>
        <w:kinsoku/>
        <w:wordWrap/>
        <w:overflowPunct/>
        <w:topLinePunct w:val="0"/>
        <w:autoSpaceDE/>
        <w:autoSpaceDN/>
        <w:bidi w:val="0"/>
        <w:snapToGrid/>
        <w:spacing w:line="620" w:lineRule="exact"/>
        <w:ind w:firstLine="602"/>
        <w:textAlignment w:val="auto"/>
      </w:pPr>
      <w:r>
        <w:rPr>
          <w:rFonts w:hint="eastAsia"/>
        </w:rPr>
        <w:t>一、拓展多元就业空间</w:t>
      </w:r>
    </w:p>
    <w:p>
      <w:pPr>
        <w:pageBreakBefore w:val="0"/>
        <w:widowControl w:val="0"/>
        <w:kinsoku/>
        <w:wordWrap/>
        <w:overflowPunct/>
        <w:topLinePunct w:val="0"/>
        <w:autoSpaceDE/>
        <w:autoSpaceDN/>
        <w:bidi w:val="0"/>
        <w:adjustRightInd/>
        <w:snapToGrid/>
        <w:spacing w:line="620" w:lineRule="exact"/>
        <w:ind w:firstLine="600"/>
        <w:textAlignment w:val="auto"/>
        <w:rPr>
          <w:rFonts w:ascii="仿宋_GB2312" w:hAnsi="仿宋" w:cs="仿宋_GB2312"/>
          <w:color w:val="000000"/>
          <w:szCs w:val="30"/>
        </w:rPr>
      </w:pPr>
      <w:r>
        <w:rPr>
          <w:rFonts w:hint="eastAsia" w:ascii="仿宋_GB2312" w:hAnsi="仿宋" w:cs="仿宋_GB2312"/>
          <w:color w:val="000000"/>
          <w:szCs w:val="30"/>
        </w:rPr>
        <w:t>建立健全公共投资和重大项目建设带动就业评估机制，鼓励优先发展吸纳就业能力强的产业。支持中小微企业健康发展，充分发挥中小企业吸纳就业的主渠道作用。鼓励发展个体经营、非全日制以及新就业形态等灵活多样的就业方式，充分挖掘网络经济、数字经济、小店经济、夜市经济等业态就业潜力。加强困难人员就业培训、托底安置，支持街镇、社区为残疾人、零就业家庭提供更多公共管理和社会服务等公益性岗位。完善劳动力和人才社会性流动体制机制，鼓励支持高校毕业生、农民工等劳动者返乡下乡就业，积极开发老龄人力资源，发展银发经济。</w:t>
      </w:r>
    </w:p>
    <w:p>
      <w:pPr>
        <w:pStyle w:val="5"/>
        <w:pageBreakBefore w:val="0"/>
        <w:widowControl w:val="0"/>
        <w:kinsoku/>
        <w:wordWrap/>
        <w:overflowPunct/>
        <w:topLinePunct w:val="0"/>
        <w:autoSpaceDE/>
        <w:autoSpaceDN/>
        <w:bidi w:val="0"/>
        <w:adjustRightInd/>
        <w:snapToGrid/>
        <w:spacing w:line="620" w:lineRule="exact"/>
        <w:ind w:firstLine="602"/>
        <w:textAlignment w:val="auto"/>
      </w:pPr>
      <w:r>
        <w:rPr>
          <w:rFonts w:hint="eastAsia"/>
        </w:rPr>
        <w:t>二、完善就业服务体系</w:t>
      </w:r>
    </w:p>
    <w:p>
      <w:pPr>
        <w:pageBreakBefore w:val="0"/>
        <w:widowControl w:val="0"/>
        <w:kinsoku/>
        <w:wordWrap/>
        <w:overflowPunct/>
        <w:topLinePunct w:val="0"/>
        <w:autoSpaceDE/>
        <w:autoSpaceDN/>
        <w:bidi w:val="0"/>
        <w:adjustRightInd/>
        <w:snapToGrid/>
        <w:spacing w:line="620" w:lineRule="exact"/>
        <w:ind w:firstLine="600"/>
        <w:textAlignment w:val="auto"/>
        <w:rPr>
          <w:rFonts w:ascii="仿宋_GB2312" w:hAnsi="仿宋" w:cs="仿宋_GB2312"/>
          <w:color w:val="000000"/>
          <w:szCs w:val="30"/>
        </w:rPr>
      </w:pPr>
      <w:r>
        <w:rPr>
          <w:rFonts w:hint="eastAsia" w:ascii="仿宋_GB2312" w:hAnsi="仿宋" w:cs="仿宋_GB2312"/>
          <w:color w:val="000000"/>
          <w:szCs w:val="30"/>
        </w:rPr>
        <w:t>加强就业公共服务信息化建设，构建覆盖城乡的就业公共服务平台，强化对高校毕业生、失业人员和退役军人等重点群体的就业援助。健全就业需求调查和失业监测预警机制。强化技能培训助推产业转型升级作用，推行工学结合、校企合作的技术工人培养模式。健全终身职业技能培训制度，加强职业培训载体建设，建设一批科技培训示范基地和公共实训基地。完善劳动关系协调机制，推广“无欠薪项目部”经验做法。全面推进援企稳岗政策。</w:t>
      </w:r>
    </w:p>
    <w:p>
      <w:pPr>
        <w:pStyle w:val="5"/>
        <w:pageBreakBefore w:val="0"/>
        <w:widowControl w:val="0"/>
        <w:kinsoku/>
        <w:wordWrap/>
        <w:overflowPunct/>
        <w:topLinePunct w:val="0"/>
        <w:autoSpaceDE/>
        <w:autoSpaceDN/>
        <w:bidi w:val="0"/>
        <w:adjustRightInd/>
        <w:snapToGrid/>
        <w:spacing w:line="600" w:lineRule="exact"/>
        <w:ind w:firstLine="602"/>
        <w:textAlignment w:val="auto"/>
      </w:pPr>
      <w:r>
        <w:rPr>
          <w:rFonts w:hint="eastAsia"/>
        </w:rPr>
        <w:t>三、提高重点群体收入</w:t>
      </w:r>
    </w:p>
    <w:p>
      <w:pPr>
        <w:pageBreakBefore w:val="0"/>
        <w:widowControl w:val="0"/>
        <w:kinsoku/>
        <w:wordWrap/>
        <w:overflowPunct/>
        <w:topLinePunct w:val="0"/>
        <w:autoSpaceDE/>
        <w:autoSpaceDN/>
        <w:bidi w:val="0"/>
        <w:adjustRightInd/>
        <w:snapToGrid/>
        <w:spacing w:line="600" w:lineRule="exact"/>
        <w:ind w:firstLine="600"/>
        <w:textAlignment w:val="auto"/>
      </w:pPr>
      <w:r>
        <w:rPr>
          <w:rFonts w:hint="eastAsia"/>
        </w:rPr>
        <w:t>实施五大群体增收计划，加强企业工资宏观调控，完善最低工资标准调整机制，健全企业工资决定和正常增长机制。推进国有企业收入分配改革，落实机关事业单位工资政策增长机制，深化公立医院薪酬制度改革。</w:t>
      </w:r>
      <w:r>
        <w:rPr>
          <w:rFonts w:hint="eastAsia" w:ascii="仿宋_GB2312" w:hAnsi="仿宋" w:cs="仿宋_GB2312"/>
          <w:color w:val="000000"/>
          <w:szCs w:val="30"/>
        </w:rPr>
        <w:t>围绕产业配套引进生活性服务业，建设商业街区，鼓励居民参与服务业经营。</w:t>
      </w:r>
      <w:r>
        <w:rPr>
          <w:rFonts w:hint="eastAsia"/>
        </w:rPr>
        <w:t>完善农村耕地、林地、滩涂等经营权流转服务，加快农村集体产业制度改革，推广“公司</w:t>
      </w:r>
      <w:r>
        <w:rPr>
          <w:rFonts w:ascii="仿宋_GB2312"/>
        </w:rPr>
        <w:t>+</w:t>
      </w:r>
      <w:r>
        <w:rPr>
          <w:rFonts w:hint="eastAsia"/>
        </w:rPr>
        <w:t>基地</w:t>
      </w:r>
      <w:r>
        <w:rPr>
          <w:rFonts w:ascii="仿宋_GB2312"/>
        </w:rPr>
        <w:t>+</w:t>
      </w:r>
      <w:r>
        <w:rPr>
          <w:rFonts w:hint="eastAsia"/>
        </w:rPr>
        <w:t>合作社</w:t>
      </w:r>
      <w:r>
        <w:rPr>
          <w:rFonts w:ascii="仿宋_GB2312"/>
        </w:rPr>
        <w:t>+</w:t>
      </w:r>
      <w:r>
        <w:rPr>
          <w:rFonts w:hint="eastAsia"/>
        </w:rPr>
        <w:t>农户”等紧密型合作模式，增加农民经营权流转收入。鼓励龙头企业、合作社通过产业帮扶带动贫困群众，扶持困难群体从事个体经营，落实困难就业群体兜底安置。完善人才收入分配激励机制与职业资格与薪酬待遇挂钩制度，提高技能人才收入水平。</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cs="楷体"/>
                <w:szCs w:val="30"/>
              </w:rPr>
            </w:pPr>
            <w:r>
              <w:rPr>
                <w:rFonts w:hint="eastAsia" w:ascii="仿宋_GB2312" w:hAnsi="楷体" w:cs="楷体"/>
                <w:b/>
                <w:bCs/>
                <w:szCs w:val="30"/>
              </w:rPr>
              <w:t>专栏</w:t>
            </w:r>
            <w:r>
              <w:rPr>
                <w:rFonts w:ascii="仿宋_GB2312" w:hAnsi="楷体" w:cs="楷体"/>
                <w:b/>
                <w:bCs/>
                <w:szCs w:val="30"/>
              </w:rPr>
              <w:t>1</w:t>
            </w:r>
            <w:r>
              <w:rPr>
                <w:rFonts w:hint="eastAsia" w:ascii="仿宋_GB2312" w:hAnsi="楷体" w:cs="楷体"/>
                <w:b/>
                <w:bCs/>
                <w:szCs w:val="30"/>
              </w:rPr>
              <w:t>2</w:t>
            </w:r>
            <w:r>
              <w:rPr>
                <w:rFonts w:ascii="仿宋_GB2312" w:hAnsi="楷体" w:cs="楷体"/>
                <w:b/>
                <w:bCs/>
                <w:szCs w:val="30"/>
              </w:rPr>
              <w:t>-1</w:t>
            </w:r>
            <w:r>
              <w:rPr>
                <w:rFonts w:hint="eastAsia" w:ascii="仿宋_GB2312" w:hAnsi="楷体" w:cs="楷体"/>
                <w:b/>
                <w:bCs/>
                <w:szCs w:val="30"/>
              </w:rPr>
              <w:t>：促进居民增收方案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仿宋_GB2312" w:cs="仿宋_GB2312"/>
                <w:sz w:val="24"/>
                <w:szCs w:val="24"/>
              </w:rPr>
            </w:pPr>
            <w:r>
              <w:rPr>
                <w:rFonts w:hint="eastAsia" w:ascii="仿宋_GB2312" w:hAnsi="仿宋_GB2312" w:cs="仿宋_GB2312"/>
                <w:b/>
                <w:bCs/>
                <w:sz w:val="24"/>
                <w:szCs w:val="24"/>
              </w:rPr>
              <w:t>五大群体增收计划：</w:t>
            </w:r>
            <w:r>
              <w:rPr>
                <w:rFonts w:hint="eastAsia" w:ascii="仿宋_GB2312" w:hAnsi="仿宋_GB2312" w:cs="仿宋_GB2312"/>
                <w:sz w:val="24"/>
                <w:szCs w:val="24"/>
              </w:rPr>
              <w:t>城镇职工薪酬增收计划、城镇居民持续增收计划、农民创新创业增收计划、困难群体收入保障计划、高端人才激励推进计划。</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仿宋_GB2312" w:cs="仿宋_GB2312"/>
                <w:sz w:val="24"/>
                <w:szCs w:val="24"/>
              </w:rPr>
            </w:pPr>
            <w:r>
              <w:rPr>
                <w:rFonts w:hint="eastAsia" w:ascii="仿宋_GB2312" w:hAnsi="仿宋_GB2312" w:cs="仿宋_GB2312"/>
                <w:b/>
                <w:bCs/>
                <w:sz w:val="24"/>
                <w:szCs w:val="24"/>
              </w:rPr>
              <w:t>拓宽四类增收渠道：</w:t>
            </w:r>
            <w:r>
              <w:rPr>
                <w:rFonts w:hint="eastAsia" w:ascii="仿宋_GB2312" w:hAnsi="仿宋_GB2312" w:cs="仿宋_GB2312"/>
                <w:sz w:val="24"/>
                <w:szCs w:val="24"/>
              </w:rPr>
              <w:t>实施工资性收入提升行动、经营性收入增加行动、财产性收入跃升行动、转移性收入增加行动。</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822" w:name="_Toc57320203"/>
      <w:bookmarkStart w:id="823" w:name="_Toc54648325"/>
      <w:bookmarkStart w:id="824" w:name="_Toc54636084"/>
      <w:bookmarkStart w:id="825" w:name="_Toc57326050"/>
      <w:bookmarkStart w:id="826" w:name="_Toc58779752"/>
      <w:bookmarkStart w:id="827" w:name="_Toc26627"/>
      <w:bookmarkStart w:id="828" w:name="_Toc1509"/>
      <w:bookmarkStart w:id="829" w:name="_Toc12894"/>
      <w:bookmarkStart w:id="830" w:name="_Toc61117393"/>
      <w:bookmarkStart w:id="831" w:name="_Toc19588"/>
      <w:bookmarkStart w:id="832" w:name="_Toc23893"/>
      <w:bookmarkStart w:id="833" w:name="_Toc26092"/>
      <w:bookmarkStart w:id="834" w:name="_Toc29249"/>
      <w:bookmarkStart w:id="835" w:name="_Toc17640"/>
      <w:bookmarkStart w:id="836" w:name="_Toc22795"/>
      <w:bookmarkStart w:id="837" w:name="_Toc22820"/>
      <w:bookmarkStart w:id="838" w:name="_Toc9144"/>
      <w:bookmarkStart w:id="839" w:name="_Toc30437"/>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第二节</w:t>
      </w:r>
      <w:r>
        <w:rPr>
          <w:rFonts w:ascii="楷体" w:hAnsi="楷体" w:eastAsia="楷体"/>
          <w:sz w:val="32"/>
          <w:szCs w:val="36"/>
        </w:rPr>
        <w:t xml:space="preserve"> </w:t>
      </w:r>
      <w:bookmarkEnd w:id="822"/>
      <w:bookmarkEnd w:id="823"/>
      <w:bookmarkEnd w:id="824"/>
      <w:bookmarkEnd w:id="825"/>
      <w:bookmarkEnd w:id="826"/>
      <w:r>
        <w:rPr>
          <w:rFonts w:hint="eastAsia" w:ascii="楷体" w:hAnsi="楷体" w:eastAsia="楷体"/>
          <w:sz w:val="32"/>
          <w:szCs w:val="36"/>
          <w:lang w:val="en-US" w:eastAsia="zh-CN"/>
        </w:rPr>
        <w:t xml:space="preserve"> </w:t>
      </w:r>
      <w:r>
        <w:rPr>
          <w:rFonts w:hint="eastAsia" w:ascii="楷体" w:hAnsi="楷体" w:eastAsia="楷体"/>
          <w:sz w:val="32"/>
          <w:szCs w:val="36"/>
        </w:rPr>
        <w:t>全方位推动教育协调发展</w:t>
      </w:r>
      <w:bookmarkEnd w:id="827"/>
      <w:bookmarkEnd w:id="828"/>
      <w:bookmarkEnd w:id="829"/>
      <w:bookmarkEnd w:id="830"/>
      <w:bookmarkEnd w:id="831"/>
      <w:bookmarkEnd w:id="832"/>
      <w:bookmarkEnd w:id="833"/>
      <w:bookmarkEnd w:id="834"/>
      <w:bookmarkEnd w:id="835"/>
      <w:bookmarkEnd w:id="836"/>
      <w:bookmarkEnd w:id="837"/>
      <w:bookmarkEnd w:id="838"/>
      <w:bookmarkEnd w:id="839"/>
    </w:p>
    <w:p>
      <w:pPr>
        <w:pageBreakBefore w:val="0"/>
        <w:kinsoku/>
        <w:wordWrap/>
        <w:overflowPunct/>
        <w:topLinePunct w:val="0"/>
        <w:autoSpaceDE/>
        <w:autoSpaceDN/>
        <w:bidi w:val="0"/>
        <w:spacing w:line="600" w:lineRule="exact"/>
        <w:ind w:firstLine="600"/>
        <w:textAlignment w:val="auto"/>
        <w:rPr>
          <w:rFonts w:hint="eastAsia" w:ascii="仿宋_GB2312"/>
        </w:rPr>
      </w:pP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坚持立德树人，推进教育与地方产业发展、城市建设、招才引智、人口集聚相适应，打造高质量教育体系，培养德智体美劳全面发展的社会主义建设者和接班人，力争到2025年，教育质量达到全省中上水平。</w:t>
      </w:r>
    </w:p>
    <w:p>
      <w:pPr>
        <w:pStyle w:val="5"/>
        <w:pageBreakBefore w:val="0"/>
        <w:kinsoku/>
        <w:wordWrap/>
        <w:overflowPunct/>
        <w:topLinePunct w:val="0"/>
        <w:autoSpaceDE/>
        <w:autoSpaceDN/>
        <w:bidi w:val="0"/>
        <w:spacing w:line="600" w:lineRule="exact"/>
        <w:ind w:firstLine="602"/>
        <w:textAlignment w:val="auto"/>
      </w:pPr>
      <w:r>
        <w:rPr>
          <w:rFonts w:hint="eastAsia"/>
        </w:rPr>
        <w:t>一、推进基础教育全面发展</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落实政府主导、社会参与、公办民办并举的办园体制，全面完成每个乡镇建有一所独立示范性幼儿园的目标任务。实施普惠性幼儿园扩容工程，加快公办园建设，鼓励社会力量办园，引导和支持更多民办园提供普惠性服务，到2025年，全市普惠性学前教育覆盖率达92.6%。开展新一轮义务教育扩容提质工程，深化城区学校“小片区管理”、农村薄弱学校“委托管理”和集团化办学改革，基本解决大班额、超大班额现象，到2025年，全市“义务教育管理标准化学校”完成率达到60%。适度新改建部分普通高中学校，配齐配足高中学科教师和实验员及教育教学设施设备，满足高考综合改革实施需要。创建特色示范普通高中，加大与省内外优质高中合作交流。大力推动有条件的普通高中创建达标高中和达标晋级，到2025年，全市新创建省一级达标高中3所。引进国内发达城市优势教育资源，补齐学前教育和基础教育短板，提升高中阶段办学品质。</w:t>
      </w:r>
    </w:p>
    <w:p>
      <w:pPr>
        <w:pStyle w:val="5"/>
        <w:pageBreakBefore w:val="0"/>
        <w:kinsoku/>
        <w:wordWrap/>
        <w:overflowPunct/>
        <w:topLinePunct w:val="0"/>
        <w:autoSpaceDE/>
        <w:autoSpaceDN/>
        <w:bidi w:val="0"/>
        <w:spacing w:line="600" w:lineRule="exact"/>
        <w:ind w:firstLine="602"/>
        <w:textAlignment w:val="auto"/>
      </w:pPr>
      <w:r>
        <w:rPr>
          <w:rFonts w:hint="eastAsia"/>
        </w:rPr>
        <w:t>二、推进高等教育内涵发展</w:t>
      </w:r>
    </w:p>
    <w:p>
      <w:pPr>
        <w:pageBreakBefore w:val="0"/>
        <w:kinsoku/>
        <w:wordWrap/>
        <w:overflowPunct/>
        <w:topLinePunct w:val="0"/>
        <w:autoSpaceDE/>
        <w:autoSpaceDN/>
        <w:bidi w:val="0"/>
        <w:spacing w:line="600" w:lineRule="exact"/>
        <w:ind w:firstLine="600"/>
        <w:textAlignment w:val="auto"/>
        <w:rPr>
          <w:rFonts w:hint="eastAsia" w:ascii="仿宋_GB2312" w:eastAsia="仿宋_GB2312"/>
          <w:lang w:eastAsia="zh-CN"/>
        </w:rPr>
      </w:pPr>
      <w:r>
        <w:rPr>
          <w:rFonts w:hint="eastAsia" w:ascii="仿宋_GB2312"/>
        </w:rPr>
        <w:t>紧扣产教融合发展战略和人才供给侧结构</w:t>
      </w:r>
      <w:r>
        <w:rPr>
          <w:rFonts w:hint="eastAsia" w:ascii="仿宋_GB2312"/>
          <w:lang w:eastAsia="zh-CN"/>
        </w:rPr>
        <w:t>性</w:t>
      </w:r>
      <w:r>
        <w:rPr>
          <w:rFonts w:hint="eastAsia" w:ascii="仿宋_GB2312"/>
        </w:rPr>
        <w:t>改革，优化宁德师范学院和宁德职业技术学院学科、专业设置，重点围绕主导产业和乡村振兴“8+1”特色产业，加快新工科、新农科、新文科、新医科和新商科等应用型专业建设。深化“引企入教”改革，推动高校联动科研院所、龙头企业共建科技创新平台、重点实验室和研发机构，逐步引导企业高端人才参与教学环节，健全需求导向的人才培养模式。实施综合型本科院校孵化计划，支持宁德师范学院争创硕士学位授予单位，加快建设新型研究型综合性大学。</w:t>
      </w:r>
      <w:r>
        <w:rPr>
          <w:rFonts w:hint="eastAsia" w:ascii="仿宋_GB2312"/>
          <w:lang w:eastAsia="zh-CN"/>
        </w:rPr>
        <w:t>谋划建设福鼎职业</w:t>
      </w:r>
      <w:bookmarkStart w:id="1004" w:name="_GoBack"/>
      <w:bookmarkEnd w:id="1004"/>
      <w:r>
        <w:rPr>
          <w:rFonts w:hint="eastAsia" w:ascii="仿宋_GB2312"/>
          <w:lang w:eastAsia="zh-CN"/>
        </w:rPr>
        <w:t>学院。</w:t>
      </w:r>
    </w:p>
    <w:p>
      <w:pPr>
        <w:pStyle w:val="5"/>
        <w:pageBreakBefore w:val="0"/>
        <w:kinsoku/>
        <w:wordWrap/>
        <w:overflowPunct/>
        <w:topLinePunct w:val="0"/>
        <w:autoSpaceDE/>
        <w:autoSpaceDN/>
        <w:bidi w:val="0"/>
        <w:spacing w:line="600" w:lineRule="exact"/>
        <w:ind w:firstLine="602"/>
        <w:textAlignment w:val="auto"/>
      </w:pPr>
      <w:r>
        <w:rPr>
          <w:rFonts w:hint="eastAsia"/>
        </w:rPr>
        <w:t>三、推动职业教育融合发展</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推进宁德市职教园项目和县（市）中职学校新校区项目建设,提升中等职业学校基本办学水平。深化产教融合、校企合作，推广订单培养、“二元制”、现代学徒制等人才培养模式，提升职业教育服务地方产业经济的能力。落实职业教育提质培优行动计划，大力实施“1+X”证书制度试点，推进中等和高等职业教育衔接贯通。开展面向在校生和全体社会人员的职业培训和继续教育，实施职业教育信息化2.0建设行动，深入开展“三教”改革攻坚行动，加强“双师型”教师队伍建设，推动职业教育高质量发展。</w:t>
      </w:r>
    </w:p>
    <w:p>
      <w:pPr>
        <w:pStyle w:val="5"/>
        <w:pageBreakBefore w:val="0"/>
        <w:kinsoku/>
        <w:wordWrap/>
        <w:overflowPunct/>
        <w:topLinePunct w:val="0"/>
        <w:autoSpaceDE/>
        <w:autoSpaceDN/>
        <w:bidi w:val="0"/>
        <w:spacing w:line="600" w:lineRule="exact"/>
        <w:ind w:firstLine="602"/>
        <w:textAlignment w:val="auto"/>
      </w:pPr>
      <w:r>
        <w:rPr>
          <w:rFonts w:hint="eastAsia"/>
        </w:rPr>
        <w:t>四、提升综合教育服务品质</w:t>
      </w:r>
    </w:p>
    <w:p>
      <w:pPr>
        <w:pageBreakBefore w:val="0"/>
        <w:kinsoku/>
        <w:wordWrap/>
        <w:overflowPunct/>
        <w:topLinePunct w:val="0"/>
        <w:autoSpaceDE/>
        <w:autoSpaceDN/>
        <w:bidi w:val="0"/>
        <w:spacing w:line="600" w:lineRule="exact"/>
        <w:ind w:firstLine="600"/>
        <w:textAlignment w:val="auto"/>
        <w:rPr>
          <w:rFonts w:ascii="仿宋_GB2312" w:hAnsi="仿宋" w:cs="仿宋_GB2312"/>
          <w:color w:val="000000"/>
          <w:szCs w:val="30"/>
        </w:rPr>
      </w:pPr>
      <w:r>
        <w:rPr>
          <w:rFonts w:hint="eastAsia" w:ascii="仿宋_GB2312" w:hAnsi="仿宋" w:cs="仿宋_GB2312"/>
          <w:color w:val="000000"/>
          <w:szCs w:val="30"/>
        </w:rPr>
        <w:t>持续加强师德师风建设，深化教师管理制度改革，优化教师队伍。加强教育资源公共服务平台和教育管理公共服务平台建设，加快推进数字校园、人工智能（创客）教育试点，逐步实现信息化教与学应用师生全覆盖。支持宁德师范学院逐年提高本地生源招生比例，实施教师定向委托培养。加快开展名师、名校长培养计划，到2025年，培养市级名校长50名、教学名师150名、学科带头人350名、骨干教师900名。支持和规范民族教育、特殊教育、专门教育、民办教育、在线教育，规范校外培训机构。加快构建各类教育相互融合的终身教育体系，创建学习型宁德。</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仿宋_GB2312" w:hAnsi="楷体" w:cs="楷体"/>
                <w:szCs w:val="30"/>
              </w:rPr>
            </w:pPr>
            <w:r>
              <w:rPr>
                <w:rFonts w:hint="eastAsia" w:ascii="仿宋_GB2312" w:hAnsi="楷体" w:cs="楷体"/>
                <w:b/>
                <w:bCs/>
                <w:szCs w:val="30"/>
              </w:rPr>
              <w:t>专栏12</w:t>
            </w:r>
            <w:r>
              <w:rPr>
                <w:rFonts w:ascii="仿宋_GB2312" w:hAnsi="楷体" w:cs="楷体"/>
                <w:b/>
                <w:bCs/>
                <w:szCs w:val="30"/>
              </w:rPr>
              <w:t>-2</w:t>
            </w:r>
            <w:r>
              <w:rPr>
                <w:rFonts w:hint="eastAsia" w:ascii="仿宋_GB2312" w:hAnsi="楷体" w:cs="楷体"/>
                <w:b/>
                <w:bCs/>
                <w:szCs w:val="30"/>
              </w:rPr>
              <w:t>：重大教育设施建设工程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仿宋_GB2312" w:cs="仿宋_GB2312"/>
                <w:sz w:val="24"/>
                <w:szCs w:val="24"/>
              </w:rPr>
            </w:pPr>
            <w:r>
              <w:rPr>
                <w:rFonts w:hint="eastAsia" w:ascii="仿宋_GB2312" w:hAnsi="仿宋_GB2312" w:cs="仿宋_GB2312"/>
                <w:b/>
                <w:bCs/>
                <w:sz w:val="24"/>
                <w:szCs w:val="24"/>
              </w:rPr>
              <w:t>学前教育建设项目：</w:t>
            </w:r>
            <w:r>
              <w:rPr>
                <w:rFonts w:hint="eastAsia" w:ascii="仿宋_GB2312" w:hAnsi="仿宋_GB2312" w:cs="仿宋_GB2312"/>
                <w:sz w:val="24"/>
                <w:szCs w:val="24"/>
              </w:rPr>
              <w:t>全市实施20所左右公办幼儿园新建项目,规划办学容量9000个学位。</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仿宋_GB2312" w:cs="仿宋_GB2312"/>
                <w:sz w:val="24"/>
                <w:szCs w:val="24"/>
              </w:rPr>
            </w:pPr>
            <w:r>
              <w:rPr>
                <w:rFonts w:hint="eastAsia" w:ascii="仿宋_GB2312" w:hAnsi="仿宋_GB2312" w:cs="仿宋_GB2312"/>
                <w:b/>
                <w:bCs/>
                <w:sz w:val="24"/>
                <w:szCs w:val="24"/>
              </w:rPr>
              <w:t>基础教育建设项目：</w:t>
            </w:r>
            <w:r>
              <w:rPr>
                <w:rFonts w:hint="eastAsia" w:ascii="仿宋_GB2312" w:hAnsi="仿宋_GB2312" w:cs="仿宋_GB2312"/>
                <w:sz w:val="24"/>
                <w:szCs w:val="24"/>
              </w:rPr>
              <w:t>推进小学基础设施新建扩容,重点实施蕉城实验小学东校区、古田城区新建中心小学、屏南县城区小学新建、寿宁县小学教育工程包、福安市城阳镇大洋小学、霞浦县东关小学(新校建设)、东侨三小等项目。提升初高中基础设施供给水平,重点推进蕉城中学东校区、古田县第一中学翠屏湖校区、周宁县新城区中学、寿宁县初中教育工程包、福安三中新校区、柘荣县第一中学新建、福鼎市第一中学铁锵校区、霞浦县六中整体搬迁、东侨三中新建等项目。</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仿宋_GB2312" w:cs="仿宋_GB2312"/>
                <w:b/>
                <w:bCs/>
                <w:sz w:val="24"/>
                <w:szCs w:val="24"/>
              </w:rPr>
            </w:pPr>
            <w:r>
              <w:rPr>
                <w:rFonts w:hint="eastAsia" w:ascii="仿宋_GB2312" w:hAnsi="仿宋_GB2312" w:cs="仿宋_GB2312"/>
                <w:b/>
                <w:bCs/>
                <w:sz w:val="24"/>
                <w:szCs w:val="24"/>
              </w:rPr>
              <w:t>职业教育建设项目：</w:t>
            </w:r>
            <w:r>
              <w:rPr>
                <w:rFonts w:hint="eastAsia" w:ascii="仿宋_GB2312" w:hAnsi="仿宋_GB2312" w:cs="仿宋_GB2312"/>
                <w:sz w:val="24"/>
                <w:szCs w:val="24"/>
              </w:rPr>
              <w:t>宁德市职教园、宁德市教师进修学院和蕉城区进修学校合建、寿宁县职业技术学校搬迁、福安职业技术学校扩建、福安市民族职业中学新校区建设、柘荣职业技术学校迁建、福鼎市职成教中心实训基地等项目。</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hAnsi="仿宋_GB2312" w:cs="仿宋_GB2312"/>
                <w:spacing w:val="-11"/>
                <w:sz w:val="24"/>
                <w:szCs w:val="24"/>
              </w:rPr>
            </w:pPr>
            <w:r>
              <w:rPr>
                <w:rFonts w:hint="eastAsia" w:ascii="仿宋_GB2312" w:hAnsi="仿宋_GB2312" w:cs="仿宋_GB2312"/>
                <w:b/>
                <w:bCs/>
                <w:spacing w:val="-11"/>
                <w:sz w:val="24"/>
                <w:szCs w:val="24"/>
              </w:rPr>
              <w:t>高等教育建设项目：</w:t>
            </w:r>
            <w:r>
              <w:rPr>
                <w:rFonts w:hint="eastAsia" w:ascii="仿宋_GB2312" w:hAnsi="仿宋_GB2312" w:cs="仿宋_GB2312"/>
                <w:spacing w:val="-11"/>
                <w:sz w:val="24"/>
                <w:szCs w:val="24"/>
              </w:rPr>
              <w:t>推进宁德师范学院三期工程及医学院配套设施建设项目。</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b/>
                <w:bCs/>
                <w:sz w:val="24"/>
                <w:szCs w:val="24"/>
              </w:rPr>
            </w:pPr>
            <w:r>
              <w:rPr>
                <w:rFonts w:hint="eastAsia" w:ascii="仿宋_GB2312" w:hAnsi="仿宋_GB2312" w:cs="仿宋_GB2312"/>
                <w:b/>
                <w:bCs/>
                <w:sz w:val="24"/>
                <w:szCs w:val="24"/>
              </w:rPr>
              <w:t>老年教育建设项目：</w:t>
            </w:r>
            <w:r>
              <w:rPr>
                <w:rFonts w:hint="eastAsia" w:ascii="仿宋_GB2312" w:hAnsi="仿宋_GB2312" w:cs="仿宋_GB2312"/>
                <w:sz w:val="24"/>
                <w:szCs w:val="24"/>
              </w:rPr>
              <w:t>宁德市老年大学、古田老年大学等项目。</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840" w:name="_Toc57320204"/>
      <w:bookmarkStart w:id="841" w:name="_Toc54636085"/>
      <w:bookmarkStart w:id="842" w:name="_Toc57326051"/>
      <w:bookmarkStart w:id="843" w:name="_Toc54648326"/>
      <w:bookmarkStart w:id="844" w:name="_Toc58779753"/>
      <w:bookmarkStart w:id="845" w:name="_Toc31910"/>
      <w:bookmarkStart w:id="846" w:name="_Toc5881"/>
      <w:bookmarkStart w:id="847" w:name="_Toc30594"/>
      <w:bookmarkStart w:id="848" w:name="_Toc4045"/>
      <w:bookmarkStart w:id="849" w:name="_Toc61117394"/>
      <w:bookmarkStart w:id="850" w:name="_Toc12899"/>
      <w:bookmarkStart w:id="851" w:name="_Toc22401"/>
      <w:bookmarkStart w:id="852" w:name="_Toc7837"/>
      <w:bookmarkStart w:id="853" w:name="_Toc31114"/>
      <w:bookmarkStart w:id="854" w:name="_Toc20271"/>
      <w:bookmarkStart w:id="855" w:name="_Toc7110"/>
      <w:bookmarkStart w:id="856" w:name="_Toc63"/>
      <w:bookmarkStart w:id="857" w:name="_Toc27987"/>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第三节</w:t>
      </w:r>
      <w:bookmarkEnd w:id="840"/>
      <w:bookmarkEnd w:id="841"/>
      <w:bookmarkEnd w:id="842"/>
      <w:bookmarkEnd w:id="843"/>
      <w:r>
        <w:rPr>
          <w:rFonts w:ascii="楷体" w:hAnsi="楷体" w:eastAsia="楷体"/>
          <w:sz w:val="32"/>
          <w:szCs w:val="36"/>
        </w:rPr>
        <w:t xml:space="preserve"> </w:t>
      </w:r>
      <w:bookmarkEnd w:id="844"/>
      <w:r>
        <w:rPr>
          <w:rFonts w:hint="eastAsia" w:ascii="楷体" w:hAnsi="楷体" w:eastAsia="楷体"/>
          <w:sz w:val="32"/>
          <w:szCs w:val="36"/>
          <w:lang w:val="en-US" w:eastAsia="zh-CN"/>
        </w:rPr>
        <w:t xml:space="preserve"> </w:t>
      </w:r>
      <w:r>
        <w:rPr>
          <w:rFonts w:hint="eastAsia" w:ascii="楷体" w:hAnsi="楷体" w:eastAsia="楷体"/>
          <w:sz w:val="32"/>
          <w:szCs w:val="36"/>
        </w:rPr>
        <w:t>健全卫生健康服务体系</w:t>
      </w:r>
      <w:bookmarkEnd w:id="845"/>
      <w:bookmarkEnd w:id="846"/>
      <w:bookmarkEnd w:id="847"/>
      <w:bookmarkEnd w:id="848"/>
      <w:bookmarkEnd w:id="849"/>
      <w:bookmarkEnd w:id="850"/>
      <w:bookmarkEnd w:id="851"/>
      <w:bookmarkEnd w:id="852"/>
      <w:bookmarkEnd w:id="853"/>
      <w:bookmarkEnd w:id="854"/>
      <w:bookmarkEnd w:id="855"/>
      <w:bookmarkEnd w:id="856"/>
      <w:bookmarkEnd w:id="857"/>
    </w:p>
    <w:p>
      <w:pPr>
        <w:pageBreakBefore w:val="0"/>
        <w:kinsoku/>
        <w:wordWrap/>
        <w:overflowPunct/>
        <w:topLinePunct w:val="0"/>
        <w:autoSpaceDE/>
        <w:autoSpaceDN/>
        <w:bidi w:val="0"/>
        <w:spacing w:line="600" w:lineRule="exact"/>
        <w:ind w:firstLine="600"/>
        <w:textAlignment w:val="auto"/>
        <w:rPr>
          <w:rFonts w:hint="eastAsia" w:ascii="仿宋_GB2312" w:hAnsi="仿宋" w:cs="仿宋_GB2312"/>
          <w:color w:val="000000"/>
          <w:szCs w:val="30"/>
        </w:rPr>
      </w:pPr>
    </w:p>
    <w:p>
      <w:pPr>
        <w:pageBreakBefore w:val="0"/>
        <w:kinsoku/>
        <w:wordWrap/>
        <w:overflowPunct/>
        <w:topLinePunct w:val="0"/>
        <w:autoSpaceDE/>
        <w:autoSpaceDN/>
        <w:bidi w:val="0"/>
        <w:spacing w:line="600" w:lineRule="exact"/>
        <w:ind w:firstLine="600"/>
        <w:textAlignment w:val="auto"/>
        <w:rPr>
          <w:rFonts w:ascii="仿宋_GB2312" w:hAnsi="仿宋" w:cs="仿宋_GB2312"/>
          <w:color w:val="000000"/>
          <w:szCs w:val="30"/>
        </w:rPr>
      </w:pPr>
      <w:r>
        <w:rPr>
          <w:rFonts w:hint="eastAsia" w:ascii="仿宋_GB2312" w:hAnsi="仿宋" w:cs="仿宋_GB2312"/>
          <w:color w:val="000000"/>
          <w:szCs w:val="30"/>
        </w:rPr>
        <w:t>以建设“健康宁德”为目标，优化医疗资源布局，强化公共卫生预警与救治能力，提升养老服务质量，营造全民健身氛围，加快提高卫生健康供给质量和服务水平。</w:t>
      </w:r>
    </w:p>
    <w:p>
      <w:pPr>
        <w:pStyle w:val="5"/>
        <w:pageBreakBefore w:val="0"/>
        <w:kinsoku/>
        <w:wordWrap/>
        <w:overflowPunct/>
        <w:topLinePunct w:val="0"/>
        <w:autoSpaceDE/>
        <w:autoSpaceDN/>
        <w:bidi w:val="0"/>
        <w:spacing w:line="600" w:lineRule="exact"/>
        <w:ind w:firstLine="602"/>
        <w:textAlignment w:val="auto"/>
      </w:pPr>
      <w:r>
        <w:rPr>
          <w:rFonts w:hint="eastAsia"/>
        </w:rPr>
        <w:t>一、大力提升医疗服务水平</w:t>
      </w:r>
    </w:p>
    <w:p>
      <w:pPr>
        <w:pageBreakBefore w:val="0"/>
        <w:kinsoku/>
        <w:wordWrap/>
        <w:overflowPunct/>
        <w:topLinePunct w:val="0"/>
        <w:autoSpaceDE/>
        <w:autoSpaceDN/>
        <w:bidi w:val="0"/>
        <w:spacing w:line="600" w:lineRule="exact"/>
        <w:ind w:firstLine="600"/>
        <w:textAlignment w:val="auto"/>
        <w:rPr>
          <w:rFonts w:ascii="仿宋_GB2312" w:hAnsi="仿宋" w:cs="仿宋_GB2312"/>
          <w:color w:val="000000"/>
          <w:szCs w:val="30"/>
        </w:rPr>
      </w:pPr>
      <w:r>
        <w:rPr>
          <w:rFonts w:hint="eastAsia" w:ascii="仿宋_GB2312" w:hAnsi="仿宋" w:cs="仿宋_GB2312"/>
          <w:color w:val="000000"/>
          <w:szCs w:val="30"/>
        </w:rPr>
        <w:t>积极开展“创双高”工作，推进省级临床重点专科和市级重点专科群建设，推动县乡两级医疗卫生机构医疗核心能力建设，加快优质医疗资源扩容、区域均衡布局和县域医疗资源共享。突出高层次、实用型及复合型人才培养引进，依托宁德师范学院等高校实施基层医药卫生人才定向委托培养，提升欠发达地区和基层一线医疗卫生人才服务保障水平。推动“互联网</w:t>
      </w:r>
      <w:r>
        <w:rPr>
          <w:rFonts w:ascii="仿宋_GB2312" w:hAnsi="仿宋" w:cs="仿宋_GB2312"/>
          <w:color w:val="000000"/>
          <w:szCs w:val="30"/>
        </w:rPr>
        <w:t>+</w:t>
      </w:r>
      <w:r>
        <w:rPr>
          <w:rFonts w:hint="eastAsia" w:ascii="仿宋_GB2312" w:hAnsi="仿宋" w:cs="仿宋_GB2312"/>
          <w:color w:val="000000"/>
          <w:szCs w:val="30"/>
        </w:rPr>
        <w:t>医疗健康”发展，推进智慧医疗便民服务等平台建设，实现医疗卫生“一站式”服务。开展名医名科名院建设，推动基层医疗卫生机构提供中医特色、医养结合、康复护理等特色医疗服务。鼓励社会力量举办专科医院和独立设置的医学影像、检验病理、康复护理等专业机构，促进有实力的社会办中医诊所、门诊部等跨省市连锁经营。</w:t>
      </w:r>
    </w:p>
    <w:p>
      <w:pPr>
        <w:pStyle w:val="5"/>
        <w:pageBreakBefore w:val="0"/>
        <w:kinsoku/>
        <w:wordWrap/>
        <w:overflowPunct/>
        <w:topLinePunct w:val="0"/>
        <w:autoSpaceDE/>
        <w:autoSpaceDN/>
        <w:bidi w:val="0"/>
        <w:spacing w:line="600" w:lineRule="exact"/>
        <w:ind w:firstLine="602"/>
        <w:textAlignment w:val="auto"/>
      </w:pPr>
      <w:r>
        <w:rPr>
          <w:rFonts w:hint="eastAsia"/>
        </w:rPr>
        <w:t>二、提高公共卫生治理能力</w:t>
      </w:r>
    </w:p>
    <w:p>
      <w:pPr>
        <w:pageBreakBefore w:val="0"/>
        <w:kinsoku/>
        <w:wordWrap/>
        <w:overflowPunct/>
        <w:topLinePunct w:val="0"/>
        <w:autoSpaceDE/>
        <w:autoSpaceDN/>
        <w:bidi w:val="0"/>
        <w:spacing w:line="600" w:lineRule="exact"/>
        <w:ind w:firstLine="600"/>
        <w:textAlignment w:val="auto"/>
        <w:rPr>
          <w:rFonts w:ascii="仿宋_GB2312" w:hAnsi="仿宋" w:cs="仿宋_GB2312"/>
          <w:color w:val="000000"/>
          <w:szCs w:val="30"/>
        </w:rPr>
      </w:pPr>
      <w:r>
        <w:rPr>
          <w:rFonts w:hint="eastAsia" w:ascii="仿宋_GB2312" w:hAnsi="仿宋" w:cs="仿宋_GB2312"/>
          <w:color w:val="000000"/>
          <w:szCs w:val="30"/>
        </w:rPr>
        <w:t>完善疾病预防控制和重大疫情防控机制，优化疾控机构职能设置。加强疾控机构标准化建设，全面提升流行病学调查、实验室检测、应急处置、职业健康防治等方面能力。强化公立医院发热门诊、平战结合传染病收治区、可转换ICU救治区、检测实验室等建设，加强重大疫情救治相关学科建设，全面提升重大传染病救治能力。加强公共卫生应急指挥中心建设，探索建立健全重大公共卫生专家咨询委员会工作机制，完善监测预警、风险研判、专业决策、应急处置一体化协同机制。统筹推进区域卫生应急重要物资产能布局，加强医疗卫生机构卫生防护物资储备，完善医药储备物资轮换使用机制，建立健全应急医疗物资启用预案。加强艾滋病、结核病等重大传染病防控，进一步控制和降低传染病流行水平。深入开展爱国卫生运动，积极宣传良好的卫生行为习惯，促进市民养成文明健康生活方式。</w:t>
      </w:r>
    </w:p>
    <w:p>
      <w:pPr>
        <w:pStyle w:val="5"/>
        <w:pageBreakBefore w:val="0"/>
        <w:kinsoku/>
        <w:wordWrap/>
        <w:overflowPunct/>
        <w:topLinePunct w:val="0"/>
        <w:autoSpaceDE/>
        <w:autoSpaceDN/>
        <w:bidi w:val="0"/>
        <w:spacing w:line="600" w:lineRule="exact"/>
        <w:ind w:firstLine="602"/>
        <w:textAlignment w:val="auto"/>
      </w:pPr>
      <w:r>
        <w:rPr>
          <w:rFonts w:hint="eastAsia"/>
        </w:rPr>
        <w:t>三、提升养老服务质量</w:t>
      </w:r>
    </w:p>
    <w:p>
      <w:pPr>
        <w:pageBreakBefore w:val="0"/>
        <w:kinsoku/>
        <w:wordWrap/>
        <w:overflowPunct/>
        <w:topLinePunct w:val="0"/>
        <w:autoSpaceDE/>
        <w:autoSpaceDN/>
        <w:bidi w:val="0"/>
        <w:spacing w:line="600" w:lineRule="exact"/>
        <w:ind w:firstLine="600"/>
        <w:textAlignment w:val="auto"/>
      </w:pPr>
      <w:r>
        <w:rPr>
          <w:rFonts w:hint="eastAsia"/>
        </w:rPr>
        <w:t>构建居家社区机构相协调、医养康养相结合的养老服务体系，建立健全老年人长期照护服务体系和养老服务综合监管制度，做好特殊对象老年人兜底保障。鼓励各地采取多种形式实现医疗卫生和养老服务融合发展，稳步推进公办养老机构改革，全面推广公建民营，重点发展服务高龄、失能及失智等刚需群体的老年人养护院。全面推动新建城区、新建住宅区“四同步”配建服务设施，基本建成“一刻钟”居家养老服务圈。持续推广老年人助餐点建设，支持有条件的乡镇敬老院改造升级成区域性养老服务中心，全面建立农村留守老年人关爱服务工作机制和基本制度。健全养老服务补贴、政府购买服务等制度，发展普惠型养老服务和互助性养老。</w:t>
      </w:r>
    </w:p>
    <w:p>
      <w:pPr>
        <w:pStyle w:val="5"/>
        <w:pageBreakBefore w:val="0"/>
        <w:kinsoku/>
        <w:wordWrap/>
        <w:overflowPunct/>
        <w:topLinePunct w:val="0"/>
        <w:autoSpaceDE/>
        <w:autoSpaceDN/>
        <w:bidi w:val="0"/>
        <w:spacing w:line="600" w:lineRule="exact"/>
        <w:ind w:firstLine="602"/>
        <w:textAlignment w:val="auto"/>
      </w:pPr>
      <w:r>
        <w:rPr>
          <w:rFonts w:hint="eastAsia"/>
        </w:rPr>
        <w:t>四、加快体育事业发展</w:t>
      </w:r>
    </w:p>
    <w:p>
      <w:pPr>
        <w:pageBreakBefore w:val="0"/>
        <w:kinsoku/>
        <w:wordWrap/>
        <w:overflowPunct/>
        <w:topLinePunct w:val="0"/>
        <w:autoSpaceDE/>
        <w:autoSpaceDN/>
        <w:bidi w:val="0"/>
        <w:spacing w:line="600" w:lineRule="exact"/>
        <w:ind w:firstLine="600"/>
        <w:textAlignment w:val="auto"/>
      </w:pPr>
      <w:r>
        <w:rPr>
          <w:rFonts w:hint="eastAsia"/>
        </w:rPr>
        <w:t>加快推进一批区县级重大体育场馆设施建设，落实新建居住区和社区按规范配套群众健身设施。开展“全民健身进机关、进企事业单位、进城乡社区”等健身指导活动，加强社会体育指导员培养，推动体育培训产业发展，引导市民培育体育健身观念、养成体育消费习惯。充分利用“山海川岛湖林洞”等自然山水生态资源和人文历史资源，</w:t>
      </w:r>
      <w:r>
        <w:t>培育山地运动、水上运动、海洋体育等运动休闲赛事</w:t>
      </w:r>
      <w:r>
        <w:rPr>
          <w:rFonts w:hint="eastAsia"/>
        </w:rPr>
        <w:t>，</w:t>
      </w:r>
      <w:r>
        <w:t>重点打造</w:t>
      </w:r>
      <w:r>
        <w:rPr>
          <w:rFonts w:hint="eastAsia"/>
        </w:rPr>
        <w:t>宁德（霞浦）三沙国际山地马拉松赛、蕉城霍童溪山地自行车大赛、中国福安富春溪汽车河道越野赛等一批全民健身品牌体育赛事活动。</w:t>
      </w:r>
    </w:p>
    <w:tbl>
      <w:tblPr>
        <w:tblStyle w:val="23"/>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仿宋_GB2312" w:hAnsi="楷体" w:cs="楷体"/>
                <w:szCs w:val="30"/>
              </w:rPr>
            </w:pPr>
            <w:r>
              <w:rPr>
                <w:rFonts w:hint="eastAsia" w:ascii="仿宋_GB2312" w:hAnsi="楷体" w:cs="楷体"/>
                <w:b/>
                <w:bCs/>
                <w:szCs w:val="30"/>
              </w:rPr>
              <w:t>专栏12</w:t>
            </w:r>
            <w:r>
              <w:rPr>
                <w:rFonts w:ascii="仿宋_GB2312" w:hAnsi="楷体" w:cs="楷体"/>
                <w:b/>
                <w:bCs/>
                <w:szCs w:val="30"/>
              </w:rPr>
              <w:t>-3</w:t>
            </w:r>
            <w:r>
              <w:rPr>
                <w:rFonts w:hint="eastAsia" w:ascii="仿宋_GB2312" w:hAnsi="楷体" w:cs="楷体"/>
                <w:b/>
                <w:bCs/>
                <w:szCs w:val="30"/>
              </w:rPr>
              <w:t>：“健康宁德”提升工程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96"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b/>
                <w:bCs/>
                <w:sz w:val="24"/>
                <w:szCs w:val="24"/>
              </w:rPr>
            </w:pPr>
            <w:r>
              <w:rPr>
                <w:rFonts w:hint="eastAsia" w:ascii="仿宋_GB2312" w:hAnsi="仿宋_GB2312" w:cs="仿宋_GB2312"/>
                <w:b/>
                <w:bCs/>
                <w:sz w:val="24"/>
                <w:szCs w:val="24"/>
              </w:rPr>
              <w:t>医疗卫生：</w:t>
            </w:r>
            <w:r>
              <w:rPr>
                <w:rFonts w:hint="eastAsia" w:ascii="仿宋_GB2312" w:hAnsi="仿宋_GB2312" w:cs="仿宋_GB2312"/>
                <w:sz w:val="24"/>
                <w:szCs w:val="24"/>
              </w:rPr>
              <w:t>重点推进宁德市妇幼保健院（含儿童医院）暨市医院迁建二期、宁德市医院迁建（三期）工程、市疾控中心异地迁建暨卫生应急核心能力建设、闽东医院公共卫生科研教学楼等项目，实施县乡医疗机构提升工程。</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b/>
                <w:bCs/>
                <w:sz w:val="24"/>
                <w:szCs w:val="24"/>
              </w:rPr>
            </w:pPr>
            <w:r>
              <w:rPr>
                <w:rFonts w:hint="eastAsia" w:ascii="仿宋_GB2312" w:hAnsi="仿宋_GB2312" w:cs="仿宋_GB2312"/>
                <w:b/>
                <w:bCs/>
                <w:sz w:val="24"/>
                <w:szCs w:val="24"/>
              </w:rPr>
              <w:t>养老服务：</w:t>
            </w:r>
            <w:r>
              <w:rPr>
                <w:rFonts w:hint="eastAsia" w:ascii="仿宋_GB2312" w:hAnsi="仿宋_GB2312" w:cs="仿宋_GB2312"/>
                <w:sz w:val="24"/>
                <w:szCs w:val="24"/>
              </w:rPr>
              <w:t>实施蕉城、福安等县市区社会福利中心和乡镇敬老院改造提升工程，推动康复医院、市中医院等医养结合推广工程，实施古田、屏南、寿宁、柘荣休闲养老服务建设工程，推进蕉城、福鼎等地高端养老项目。</w:t>
            </w:r>
          </w:p>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b/>
                <w:bCs/>
                <w:sz w:val="24"/>
                <w:szCs w:val="24"/>
              </w:rPr>
            </w:pPr>
            <w:r>
              <w:rPr>
                <w:rFonts w:hint="eastAsia" w:ascii="仿宋_GB2312" w:hAnsi="仿宋_GB2312" w:cs="仿宋_GB2312"/>
                <w:b/>
                <w:bCs/>
                <w:sz w:val="24"/>
                <w:szCs w:val="24"/>
              </w:rPr>
              <w:t>体育事业：</w:t>
            </w:r>
            <w:r>
              <w:rPr>
                <w:rFonts w:hint="eastAsia" w:ascii="仿宋_GB2312" w:hAnsi="仿宋_GB2312" w:cs="仿宋_GB2312"/>
                <w:sz w:val="24"/>
                <w:szCs w:val="24"/>
              </w:rPr>
              <w:t>推进市本级及各县(市、区)体育基础设施新建工程,支持智慧体育公园、全民健身活动中心建设。</w:t>
            </w:r>
            <w:r>
              <w:rPr>
                <w:rFonts w:ascii="仿宋_GB2312" w:hAnsi="仿宋_GB2312" w:cs="仿宋_GB2312"/>
                <w:b/>
                <w:bCs/>
                <w:sz w:val="24"/>
                <w:szCs w:val="24"/>
              </w:rPr>
              <w:t xml:space="preserve"> </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858" w:name="_Toc54648328"/>
      <w:bookmarkStart w:id="859" w:name="_Toc54636087"/>
      <w:bookmarkStart w:id="860" w:name="_Toc28750"/>
      <w:bookmarkStart w:id="861" w:name="_Toc23755"/>
      <w:bookmarkStart w:id="862" w:name="_Toc31571"/>
      <w:bookmarkStart w:id="863" w:name="_Toc29252"/>
      <w:bookmarkStart w:id="864" w:name="_Toc57326053"/>
      <w:bookmarkStart w:id="865" w:name="_Toc10980"/>
      <w:bookmarkStart w:id="866" w:name="_Toc21985"/>
      <w:bookmarkStart w:id="867" w:name="_Toc1347"/>
      <w:bookmarkStart w:id="868" w:name="_Toc3125"/>
      <w:bookmarkStart w:id="869" w:name="_Toc1545"/>
      <w:bookmarkStart w:id="870" w:name="_Toc58779754"/>
      <w:bookmarkStart w:id="871" w:name="_Toc61117395"/>
      <w:bookmarkStart w:id="872" w:name="_Toc30849"/>
      <w:bookmarkStart w:id="873" w:name="_Toc57320206"/>
      <w:bookmarkStart w:id="874" w:name="_Toc3830"/>
      <w:bookmarkStart w:id="875" w:name="_Toc577"/>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第四节</w:t>
      </w:r>
      <w:bookmarkEnd w:id="858"/>
      <w:bookmarkEnd w:id="859"/>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构建多层次社会保障体系</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健全社会保险制度体系，保障妇女儿童权益，加快建设多元化社会救助体系，构建覆盖全民、统筹城乡、公平统一、可持续的多层次社会保障体系。</w:t>
      </w:r>
    </w:p>
    <w:p>
      <w:pPr>
        <w:pStyle w:val="5"/>
        <w:pageBreakBefore w:val="0"/>
        <w:kinsoku/>
        <w:wordWrap/>
        <w:overflowPunct/>
        <w:topLinePunct w:val="0"/>
        <w:autoSpaceDE/>
        <w:autoSpaceDN/>
        <w:bidi w:val="0"/>
        <w:spacing w:line="600" w:lineRule="exact"/>
        <w:ind w:firstLine="602"/>
        <w:textAlignment w:val="auto"/>
      </w:pPr>
      <w:r>
        <w:rPr>
          <w:rFonts w:hint="eastAsia"/>
        </w:rPr>
        <w:t>一、健全社会保险制度体系</w:t>
      </w:r>
    </w:p>
    <w:p>
      <w:pPr>
        <w:pageBreakBefore w:val="0"/>
        <w:kinsoku/>
        <w:wordWrap/>
        <w:overflowPunct/>
        <w:topLinePunct w:val="0"/>
        <w:autoSpaceDE/>
        <w:autoSpaceDN/>
        <w:bidi w:val="0"/>
        <w:spacing w:line="600" w:lineRule="exact"/>
        <w:ind w:firstLine="600"/>
        <w:textAlignment w:val="auto"/>
      </w:pPr>
      <w:r>
        <w:rPr>
          <w:rFonts w:hint="eastAsia"/>
        </w:rPr>
        <w:t>全面实施全民参保计划，完善参保人员信息共享机制，强化以养老、医疗、失业、工伤、生育保险为重点的社会基本保障，提高企业参保扩面，健全灵活就业人员社保制度。稳步推进机关事业单位养老保险制度改革，积极推动职业年金和企业年金发展，建立健全城乡居民基本养老保险多缴多得激励机制。完善重大疾病医疗保险和救助制度。完善城乡居民医疗保险筹资机制，提高城乡居民基本医疗保险统筹标准，落实异地就医结算制度。</w:t>
      </w:r>
      <w:bookmarkStart w:id="876" w:name="OLE_LINK1"/>
      <w:bookmarkStart w:id="877" w:name="OLE_LINK2"/>
      <w:r>
        <w:rPr>
          <w:rFonts w:hint="eastAsia"/>
        </w:rPr>
        <w:t>完善工伤保险制度，做好机关、事业单位人员参加工伤保险</w:t>
      </w:r>
      <w:bookmarkEnd w:id="876"/>
      <w:bookmarkEnd w:id="877"/>
      <w:r>
        <w:rPr>
          <w:rFonts w:hint="eastAsia"/>
        </w:rPr>
        <w:t>工作，全面落实建筑业职工参加工伤保险，探索开展长期护理保险制度。完善失业保险金标准调整机制，适度提高失业保险待遇水平。</w:t>
      </w:r>
    </w:p>
    <w:p>
      <w:pPr>
        <w:pStyle w:val="5"/>
        <w:pageBreakBefore w:val="0"/>
        <w:kinsoku/>
        <w:wordWrap/>
        <w:overflowPunct/>
        <w:topLinePunct w:val="0"/>
        <w:autoSpaceDE/>
        <w:autoSpaceDN/>
        <w:bidi w:val="0"/>
        <w:spacing w:line="600" w:lineRule="exact"/>
        <w:ind w:firstLine="602"/>
        <w:textAlignment w:val="auto"/>
      </w:pPr>
      <w:r>
        <w:rPr>
          <w:rFonts w:hint="eastAsia"/>
        </w:rPr>
        <w:t>二、推动妇女儿童事业发展</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推进妇女、儿童发展纲要全面实施，保障妇女儿童平等发展权益，加强女性健康防治工作，推进反家庭暴力工作。强化对儿童生存权、发展权、受保护权、参与权的依法保障和社会责任，进一步健全农村留守儿童和困境儿童关爱服务体系。建设宁德市儿童福利院，集中养育孤弃儿童。发展普惠托育服务体系，力争建成3岁以下婴幼儿照护服务托位1万个。实施“家家幸福安康工程”，依法强化父母在家庭教育中的主体责任，提升政府在家庭教育工作中的推动作用。</w:t>
      </w:r>
    </w:p>
    <w:p>
      <w:pPr>
        <w:pStyle w:val="5"/>
        <w:pageBreakBefore w:val="0"/>
        <w:kinsoku/>
        <w:wordWrap/>
        <w:overflowPunct/>
        <w:topLinePunct w:val="0"/>
        <w:autoSpaceDE/>
        <w:autoSpaceDN/>
        <w:bidi w:val="0"/>
        <w:spacing w:line="600" w:lineRule="exact"/>
        <w:ind w:firstLine="602"/>
        <w:textAlignment w:val="auto"/>
      </w:pPr>
      <w:r>
        <w:rPr>
          <w:rFonts w:hint="eastAsia"/>
        </w:rPr>
        <w:t>三、完善青少年社会保障体系</w:t>
      </w:r>
    </w:p>
    <w:p>
      <w:pPr>
        <w:pageBreakBefore w:val="0"/>
        <w:kinsoku/>
        <w:wordWrap/>
        <w:overflowPunct/>
        <w:topLinePunct w:val="0"/>
        <w:autoSpaceDE/>
        <w:autoSpaceDN/>
        <w:bidi w:val="0"/>
        <w:spacing w:line="600" w:lineRule="exact"/>
        <w:ind w:firstLine="600"/>
        <w:textAlignment w:val="auto"/>
        <w:rPr>
          <w:rFonts w:ascii="仿宋_GB2312" w:hAnsi="仿宋" w:cs="仿宋_GB2312"/>
          <w:color w:val="000000"/>
          <w:szCs w:val="30"/>
        </w:rPr>
      </w:pPr>
      <w:r>
        <w:rPr>
          <w:rFonts w:hint="eastAsia" w:ascii="仿宋_GB2312" w:hAnsi="仿宋" w:cs="仿宋_GB2312"/>
          <w:color w:val="000000"/>
          <w:szCs w:val="30"/>
        </w:rPr>
        <w:t>完善青少年权益维护的政策制度体系，健全青少年权益保护的工作体系和工作机制。推进建设充分覆盖青少年急需的保障需求的社会保障体系，注重在青年住房、婚恋、教育、医疗等领域出台有针对性的帮扶政策，并在各类青少年群体之间逐步实现均等化。完善困境青少年教育、医疗、就业等方面的服务保障政策。综合防控儿童青少年近视，防止性侵未成年人、未成年人犯罪、未成年人网络沉迷等极端事件发生。</w:t>
      </w:r>
    </w:p>
    <w:p>
      <w:pPr>
        <w:pStyle w:val="5"/>
        <w:pageBreakBefore w:val="0"/>
        <w:kinsoku/>
        <w:wordWrap/>
        <w:overflowPunct/>
        <w:topLinePunct w:val="0"/>
        <w:autoSpaceDE/>
        <w:autoSpaceDN/>
        <w:bidi w:val="0"/>
        <w:spacing w:line="600" w:lineRule="exact"/>
        <w:ind w:firstLine="602"/>
        <w:textAlignment w:val="auto"/>
      </w:pPr>
      <w:r>
        <w:rPr>
          <w:rFonts w:hint="eastAsia"/>
        </w:rPr>
        <w:t>四、推进社会救助体系建设</w:t>
      </w:r>
    </w:p>
    <w:p>
      <w:pPr>
        <w:pageBreakBefore w:val="0"/>
        <w:kinsoku/>
        <w:wordWrap/>
        <w:overflowPunct/>
        <w:topLinePunct w:val="0"/>
        <w:autoSpaceDE/>
        <w:autoSpaceDN/>
        <w:bidi w:val="0"/>
        <w:spacing w:line="600" w:lineRule="exact"/>
        <w:ind w:firstLine="600"/>
        <w:textAlignment w:val="auto"/>
        <w:rPr>
          <w:rFonts w:ascii="仿宋_GB2312" w:hAnsi="仿宋" w:cs="仿宋_GB2312"/>
          <w:color w:val="000000"/>
          <w:szCs w:val="30"/>
        </w:rPr>
      </w:pPr>
      <w:r>
        <w:rPr>
          <w:rFonts w:hint="eastAsia" w:ascii="仿宋_GB2312" w:hAnsi="仿宋" w:cs="仿宋_GB2312"/>
          <w:color w:val="000000"/>
          <w:szCs w:val="30"/>
        </w:rPr>
        <w:t>构建以最低生活保障为基础，各类专项救助和临时救助为辅助、社会力量共同参与的多元化社会救助体系，健全老年人、残疾人、孤儿、精神病人关爱服务体系。推进智慧救助建设，运用大数据技术开展低保、低边、特困、临时救助对象精准核对。完善最低生活保障标准自然增长机制，加强支出型贫困救助，提高特困人员、困境儿童、特殊困难人群等保障标准。积极开展特困人员供养、受灾人员救助以及医疗、教育、住房、就业等专项救助。进一步提升“救急难”水平，实现临时救助对常住人口全覆盖。充分发挥红十字会、慈善总会、基金会作用，发展基层慈善组织，弘扬慈善文化。</w:t>
      </w:r>
    </w:p>
    <w:p>
      <w:pPr>
        <w:pStyle w:val="5"/>
        <w:pageBreakBefore w:val="0"/>
        <w:kinsoku/>
        <w:wordWrap/>
        <w:overflowPunct/>
        <w:topLinePunct w:val="0"/>
        <w:autoSpaceDE/>
        <w:autoSpaceDN/>
        <w:bidi w:val="0"/>
        <w:spacing w:line="600" w:lineRule="exact"/>
        <w:ind w:firstLine="602"/>
        <w:textAlignment w:val="auto"/>
      </w:pPr>
      <w:r>
        <w:rPr>
          <w:rFonts w:hint="eastAsia"/>
        </w:rPr>
        <w:t>五、加强退役军人服务保障</w:t>
      </w:r>
    </w:p>
    <w:p>
      <w:pPr>
        <w:pageBreakBefore w:val="0"/>
        <w:kinsoku/>
        <w:wordWrap/>
        <w:overflowPunct/>
        <w:topLinePunct w:val="0"/>
        <w:autoSpaceDE/>
        <w:autoSpaceDN/>
        <w:bidi w:val="0"/>
        <w:spacing w:line="600" w:lineRule="exact"/>
        <w:ind w:firstLine="600"/>
        <w:textAlignment w:val="auto"/>
      </w:pPr>
      <w:r>
        <w:rPr>
          <w:rFonts w:hint="eastAsia"/>
        </w:rPr>
        <w:t>建立健全退役军人服务保障体系，建设专业化退役军人服务队伍，推进退役军人服务中心（站）标准化建设。坚持落实优待政策，做好退役军人抚恤优待、就业创业、困难救助、走访慰问等工作，推进荣誉体系建设。加大舆论宣传力度，营造尊崇尊重军人的浓厚氛围。</w:t>
      </w:r>
    </w:p>
    <w:p>
      <w:pPr>
        <w:pageBreakBefore w:val="0"/>
        <w:widowControl/>
        <w:kinsoku/>
        <w:wordWrap/>
        <w:overflowPunct/>
        <w:topLinePunct w:val="0"/>
        <w:autoSpaceDE/>
        <w:autoSpaceDN/>
        <w:bidi w:val="0"/>
        <w:spacing w:line="600" w:lineRule="exact"/>
        <w:ind w:firstLine="0" w:firstLineChars="0"/>
        <w:jc w:val="left"/>
        <w:textAlignment w:val="auto"/>
        <w:rPr>
          <w:rFonts w:ascii="黑体" w:hAnsi="黑体" w:eastAsia="黑体"/>
          <w:b/>
          <w:bCs/>
          <w:kern w:val="44"/>
          <w:sz w:val="32"/>
          <w:szCs w:val="48"/>
        </w:rPr>
      </w:pPr>
      <w:r>
        <w:rPr>
          <w:rFonts w:ascii="黑体" w:hAnsi="黑体" w:eastAsia="黑体"/>
          <w:b/>
          <w:bCs/>
          <w:kern w:val="44"/>
          <w:sz w:val="32"/>
          <w:szCs w:val="48"/>
        </w:rPr>
        <w:br w:type="page"/>
      </w:r>
    </w:p>
    <w:bookmarkEnd w:id="806"/>
    <w:bookmarkEnd w:id="807"/>
    <w:p>
      <w:pPr>
        <w:pStyle w:val="3"/>
        <w:pageBreakBefore w:val="0"/>
        <w:kinsoku/>
        <w:wordWrap/>
        <w:overflowPunct/>
        <w:topLinePunct w:val="0"/>
        <w:autoSpaceDE/>
        <w:autoSpaceDN/>
        <w:bidi w:val="0"/>
        <w:spacing w:line="600" w:lineRule="exact"/>
        <w:textAlignment w:val="auto"/>
        <w:rPr>
          <w:rFonts w:hint="eastAsia" w:ascii="黑体" w:hAnsi="黑体" w:eastAsia="黑体"/>
          <w:sz w:val="32"/>
          <w:szCs w:val="48"/>
        </w:rPr>
      </w:pPr>
      <w:bookmarkStart w:id="878" w:name="_Toc8891"/>
      <w:bookmarkStart w:id="879" w:name="_Toc21051"/>
      <w:bookmarkStart w:id="880" w:name="_Toc18415"/>
      <w:bookmarkStart w:id="881" w:name="_Toc6657"/>
      <w:bookmarkStart w:id="882" w:name="_Toc2133"/>
      <w:bookmarkStart w:id="883" w:name="_Toc15821"/>
      <w:bookmarkStart w:id="884" w:name="_Toc23177"/>
      <w:bookmarkStart w:id="885" w:name="_Toc15698"/>
      <w:bookmarkStart w:id="886" w:name="_Toc61117396"/>
      <w:bookmarkStart w:id="887" w:name="_Toc29574"/>
      <w:bookmarkStart w:id="888" w:name="_Toc58779755"/>
      <w:bookmarkStart w:id="889" w:name="_Toc32003"/>
      <w:bookmarkStart w:id="890" w:name="_Toc21791"/>
      <w:bookmarkStart w:id="891" w:name="_Toc25683"/>
    </w:p>
    <w:p>
      <w:pPr>
        <w:pStyle w:val="3"/>
        <w:pageBreakBefore w:val="0"/>
        <w:kinsoku/>
        <w:wordWrap/>
        <w:overflowPunct/>
        <w:topLinePunct w:val="0"/>
        <w:autoSpaceDE/>
        <w:autoSpaceDN/>
        <w:bidi w:val="0"/>
        <w:spacing w:line="600" w:lineRule="exact"/>
        <w:textAlignment w:val="auto"/>
        <w:rPr>
          <w:rFonts w:ascii="黑体" w:hAnsi="黑体" w:eastAsia="黑体"/>
          <w:b w:val="0"/>
          <w:bCs w:val="0"/>
          <w:sz w:val="32"/>
          <w:szCs w:val="48"/>
        </w:rPr>
      </w:pPr>
      <w:r>
        <w:rPr>
          <w:rFonts w:hint="eastAsia" w:ascii="黑体" w:hAnsi="黑体" w:eastAsia="黑体"/>
          <w:b w:val="0"/>
          <w:bCs w:val="0"/>
          <w:sz w:val="32"/>
          <w:szCs w:val="48"/>
        </w:rPr>
        <w:t>第十三章</w:t>
      </w:r>
      <w:r>
        <w:rPr>
          <w:rFonts w:hint="eastAsia" w:ascii="黑体" w:hAnsi="黑体" w:eastAsia="黑体"/>
          <w:b w:val="0"/>
          <w:bCs w:val="0"/>
          <w:sz w:val="32"/>
          <w:szCs w:val="48"/>
          <w:lang w:val="en-US" w:eastAsia="zh-CN"/>
        </w:rPr>
        <w:t xml:space="preserve"> </w:t>
      </w:r>
      <w:r>
        <w:rPr>
          <w:rFonts w:ascii="黑体" w:hAnsi="黑体" w:eastAsia="黑体"/>
          <w:b w:val="0"/>
          <w:bCs w:val="0"/>
          <w:sz w:val="32"/>
          <w:szCs w:val="48"/>
        </w:rPr>
        <w:t xml:space="preserve"> </w:t>
      </w:r>
      <w:r>
        <w:rPr>
          <w:rFonts w:hint="eastAsia" w:ascii="黑体" w:hAnsi="黑体" w:eastAsia="黑体"/>
          <w:b w:val="0"/>
          <w:bCs w:val="0"/>
          <w:sz w:val="32"/>
          <w:szCs w:val="48"/>
        </w:rPr>
        <w:t>推动市域社会治理现代化</w:t>
      </w:r>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认真落实习近平总书记提出的“要完善共建共治共享的社会治理制度”的要求，以深化民主法治建设为基础，坚持自治法治德治“三治融合”，构建基层善治新体系，探索形成具有宁德特色的高质量社会治理品牌，建设更高水平的“平安宁德”。</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892" w:name="_Toc57326056"/>
      <w:bookmarkStart w:id="893" w:name="_Toc57320209"/>
      <w:bookmarkStart w:id="894" w:name="_Toc22707"/>
      <w:bookmarkStart w:id="895" w:name="_Toc26164"/>
      <w:bookmarkStart w:id="896" w:name="_Toc31558"/>
      <w:bookmarkStart w:id="897" w:name="_Toc61117397"/>
      <w:bookmarkStart w:id="898" w:name="_Toc19904"/>
      <w:bookmarkStart w:id="899" w:name="_Toc22125"/>
      <w:bookmarkStart w:id="900" w:name="_Toc28819"/>
      <w:bookmarkStart w:id="901" w:name="_Toc21533"/>
      <w:bookmarkStart w:id="902" w:name="_Toc6016"/>
      <w:bookmarkStart w:id="903" w:name="_Toc58779756"/>
      <w:bookmarkStart w:id="904" w:name="_Toc29698"/>
      <w:bookmarkStart w:id="905" w:name="_Toc32184"/>
      <w:bookmarkStart w:id="906" w:name="_Toc20186"/>
      <w:bookmarkStart w:id="907" w:name="_Toc28605"/>
    </w:p>
    <w:p>
      <w:pPr>
        <w:pStyle w:val="4"/>
        <w:pageBreakBefore w:val="0"/>
        <w:numPr>
          <w:ilvl w:val="0"/>
          <w:numId w:val="9"/>
        </w:numPr>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r>
        <w:rPr>
          <w:rFonts w:ascii="楷体" w:hAnsi="楷体" w:eastAsia="楷体"/>
          <w:sz w:val="32"/>
          <w:szCs w:val="36"/>
        </w:rPr>
        <w:t xml:space="preserve"> </w:t>
      </w:r>
      <w:bookmarkEnd w:id="892"/>
      <w:bookmarkEnd w:id="893"/>
      <w:r>
        <w:rPr>
          <w:rFonts w:hint="eastAsia" w:ascii="楷体" w:hAnsi="楷体" w:eastAsia="楷体"/>
          <w:sz w:val="32"/>
          <w:szCs w:val="36"/>
        </w:rPr>
        <w:t>健全基层社会治理体系</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p>
    <w:p>
      <w:pPr>
        <w:numPr>
          <w:ilvl w:val="0"/>
          <w:numId w:val="0"/>
        </w:numPr>
      </w:pPr>
    </w:p>
    <w:p>
      <w:pPr>
        <w:pageBreakBefore w:val="0"/>
        <w:kinsoku/>
        <w:wordWrap/>
        <w:overflowPunct/>
        <w:topLinePunct w:val="0"/>
        <w:autoSpaceDE/>
        <w:autoSpaceDN/>
        <w:bidi w:val="0"/>
        <w:spacing w:line="600" w:lineRule="exact"/>
        <w:ind w:firstLine="600"/>
        <w:textAlignment w:val="auto"/>
      </w:pPr>
      <w:r>
        <w:rPr>
          <w:rFonts w:hint="eastAsia"/>
        </w:rPr>
        <w:t>以提升社区治理、乡村治理、社会组织治理能效为抓手，扎实推动基层党建工作，加快构建简约高效的基层治理体系，推动社会治理重心向基层下移、向基层放权赋能，提升基层治理能力。</w:t>
      </w:r>
    </w:p>
    <w:p>
      <w:pPr>
        <w:pStyle w:val="5"/>
        <w:pageBreakBefore w:val="0"/>
        <w:kinsoku/>
        <w:wordWrap/>
        <w:overflowPunct/>
        <w:topLinePunct w:val="0"/>
        <w:autoSpaceDE/>
        <w:autoSpaceDN/>
        <w:bidi w:val="0"/>
        <w:spacing w:line="600" w:lineRule="exact"/>
        <w:ind w:firstLine="602"/>
        <w:textAlignment w:val="auto"/>
      </w:pPr>
      <w:r>
        <w:rPr>
          <w:rFonts w:hint="eastAsia"/>
        </w:rPr>
        <w:t>一、提升社区治理能效</w:t>
      </w:r>
    </w:p>
    <w:p>
      <w:pPr>
        <w:pageBreakBefore w:val="0"/>
        <w:kinsoku/>
        <w:wordWrap/>
        <w:overflowPunct/>
        <w:topLinePunct w:val="0"/>
        <w:autoSpaceDE/>
        <w:autoSpaceDN/>
        <w:bidi w:val="0"/>
        <w:spacing w:line="600" w:lineRule="exact"/>
        <w:ind w:firstLine="600"/>
        <w:textAlignment w:val="auto"/>
      </w:pPr>
      <w:r>
        <w:rPr>
          <w:rFonts w:hint="eastAsia"/>
        </w:rPr>
        <w:t>积极推进城区“一区一警两辅警”模式，推行综治网格与警务网格“同格”运作、综治网格员与警员联勤联动，实现社区治理更加精准高效。持续推动智慧安防小区建设，强化移动警务终端应用，以科技手段辅助社区警务工作。建立“街道班子</w:t>
      </w:r>
      <w:r>
        <w:rPr>
          <w:rFonts w:hint="eastAsia" w:ascii="仿宋_GB2312"/>
        </w:rPr>
        <w:t>+</w:t>
      </w:r>
      <w:r>
        <w:rPr>
          <w:rFonts w:hint="eastAsia"/>
        </w:rPr>
        <w:t>街道干部</w:t>
      </w:r>
      <w:r>
        <w:rPr>
          <w:rFonts w:hint="eastAsia" w:ascii="仿宋_GB2312"/>
        </w:rPr>
        <w:t>+</w:t>
      </w:r>
      <w:r>
        <w:rPr>
          <w:rFonts w:hint="eastAsia"/>
        </w:rPr>
        <w:t>社区主干</w:t>
      </w:r>
      <w:r>
        <w:rPr>
          <w:rFonts w:ascii="仿宋_GB2312"/>
        </w:rPr>
        <w:t>+</w:t>
      </w:r>
      <w:r>
        <w:rPr>
          <w:rFonts w:hint="eastAsia"/>
        </w:rPr>
        <w:t>社区两委</w:t>
      </w:r>
      <w:r>
        <w:rPr>
          <w:rFonts w:ascii="仿宋_GB2312"/>
        </w:rPr>
        <w:t>+</w:t>
      </w:r>
      <w:r>
        <w:rPr>
          <w:rFonts w:hint="eastAsia"/>
        </w:rPr>
        <w:t>楼栋长或小组长”的五级责任链条，统筹各层级的网格化工作。全面建立志愿服务参与社区治理制度。健全社区养老中心、邻里中心、社区综合文化服务中心等基础设施，推进建设宁德市未来社区试点建设，提升党建引领城市基层治理效能。定期开展健康体检、节庆活动、艺术进社区等集体活动，提升社区群众精神满足感。</w:t>
      </w:r>
    </w:p>
    <w:p>
      <w:pPr>
        <w:pStyle w:val="5"/>
        <w:pageBreakBefore w:val="0"/>
        <w:kinsoku/>
        <w:wordWrap/>
        <w:overflowPunct/>
        <w:topLinePunct w:val="0"/>
        <w:autoSpaceDE/>
        <w:autoSpaceDN/>
        <w:bidi w:val="0"/>
        <w:spacing w:line="600" w:lineRule="exact"/>
        <w:ind w:firstLine="602"/>
        <w:textAlignment w:val="auto"/>
      </w:pPr>
      <w:r>
        <w:rPr>
          <w:rFonts w:hint="eastAsia"/>
        </w:rPr>
        <w:t>二、完善乡村治理体系</w:t>
      </w:r>
    </w:p>
    <w:p>
      <w:pPr>
        <w:pageBreakBefore w:val="0"/>
        <w:kinsoku/>
        <w:wordWrap/>
        <w:overflowPunct/>
        <w:topLinePunct w:val="0"/>
        <w:autoSpaceDE/>
        <w:autoSpaceDN/>
        <w:bidi w:val="0"/>
        <w:spacing w:line="600" w:lineRule="exact"/>
        <w:ind w:firstLine="600"/>
        <w:textAlignment w:val="auto"/>
      </w:pPr>
      <w:r>
        <w:rPr>
          <w:rFonts w:hint="eastAsia"/>
        </w:rPr>
        <w:t>建立以基层党组织为领导、村民自治组织和村务监督组织为基础、集体经济组织和农民合作组织为纽带、其他经济社会组织为补充的村级组织体系。大力实施基层党建“整乡推进、整县提升”活动，健全党组织领导的村级事务运行机制，严格落实“四议两公开”“六要”群众工作法等制度，深化村务监督和公开。积极推进乡镇“一村一警务助理”模式，发展壮大群防群治队伍，提升乡镇社会治安管控能力。持续推进移风易俗行动，积极引导向上向善、尊老爱亲、重义守信、勤俭持家的村风民风，深入开展道德模范、身边好人、星级文明户等评选，充分发挥道德教化作用。</w:t>
      </w:r>
    </w:p>
    <w:p>
      <w:pPr>
        <w:pStyle w:val="5"/>
        <w:pageBreakBefore w:val="0"/>
        <w:kinsoku/>
        <w:wordWrap/>
        <w:overflowPunct/>
        <w:topLinePunct w:val="0"/>
        <w:autoSpaceDE/>
        <w:autoSpaceDN/>
        <w:bidi w:val="0"/>
        <w:spacing w:line="600" w:lineRule="exact"/>
        <w:ind w:firstLine="602"/>
        <w:textAlignment w:val="auto"/>
      </w:pPr>
      <w:r>
        <w:rPr>
          <w:rFonts w:hint="eastAsia"/>
        </w:rPr>
        <w:t>三、发挥社会组织治理作用</w:t>
      </w:r>
    </w:p>
    <w:p>
      <w:pPr>
        <w:pageBreakBefore w:val="0"/>
        <w:kinsoku/>
        <w:wordWrap/>
        <w:overflowPunct/>
        <w:topLinePunct w:val="0"/>
        <w:autoSpaceDE/>
        <w:autoSpaceDN/>
        <w:bidi w:val="0"/>
        <w:spacing w:line="600" w:lineRule="exact"/>
        <w:ind w:firstLine="600"/>
        <w:textAlignment w:val="auto"/>
      </w:pPr>
      <w:r>
        <w:rPr>
          <w:rFonts w:hint="eastAsia"/>
        </w:rPr>
        <w:t>推进发展生活服务、居民互助、产业发展等类型的社区社会组织，重点培育与宁德主导产业相关的行业协会商会，鼓励成立行业纠纷调解组织，积极调解行业内有关知识产权、劳动合同等纠纷。鼓励社区工作者、社会组织专职工作者参加全国社会工作者职业水平考试，提升社会工作者职业素养。开展“社会工作者</w:t>
      </w:r>
      <w:r>
        <w:rPr>
          <w:rFonts w:ascii="仿宋_GB2312"/>
        </w:rPr>
        <w:t>+</w:t>
      </w:r>
      <w:r>
        <w:rPr>
          <w:rFonts w:hint="eastAsia"/>
        </w:rPr>
        <w:t>社会组织志愿者”结对工作，强化对社会组织志愿者相关专业知识和技能的培训，提升社会组织治理效能。</w:t>
      </w:r>
    </w:p>
    <w:p>
      <w:pPr>
        <w:pStyle w:val="5"/>
        <w:pageBreakBefore w:val="0"/>
        <w:kinsoku/>
        <w:wordWrap/>
        <w:overflowPunct/>
        <w:topLinePunct w:val="0"/>
        <w:autoSpaceDE/>
        <w:autoSpaceDN/>
        <w:bidi w:val="0"/>
        <w:spacing w:line="600" w:lineRule="exact"/>
        <w:ind w:firstLine="602"/>
        <w:textAlignment w:val="auto"/>
      </w:pPr>
      <w:r>
        <w:rPr>
          <w:rFonts w:hint="eastAsia"/>
        </w:rPr>
        <w:t>四、加快推动数字政府建设</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强化大数据中心建设，构建政务大数据资源池，建立政务数据资源“负面清单”管理模式，依托福建省公共信息资源统一开放平台引导全社会广泛参与和开发利用公共信息资源。在充分利用现有信息化资源的前提下，加快构建城市数字化管理服务体系。以深化城市管理、社会治安、公共安全等重点领域场景应用为核心，加快构建各领域信息应用平台。依托“福建省网上办事大厅”、“i宁德”等数字化平台，简化政务服务业务流程。构建“多方联动、多维监督”的网络安全管理工作机制，强化信息安全培训，定期开展网络安全督查专项行动。</w:t>
      </w:r>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cs="楷体"/>
                <w:szCs w:val="30"/>
              </w:rPr>
            </w:pPr>
            <w:r>
              <w:rPr>
                <w:rFonts w:hint="eastAsia" w:ascii="仿宋_GB2312" w:hAnsi="楷体" w:cs="楷体"/>
                <w:b/>
                <w:bCs/>
                <w:szCs w:val="30"/>
              </w:rPr>
              <w:t>专栏</w:t>
            </w:r>
            <w:r>
              <w:rPr>
                <w:rFonts w:ascii="仿宋_GB2312" w:hAnsi="楷体" w:cs="楷体"/>
                <w:b/>
                <w:bCs/>
                <w:szCs w:val="30"/>
              </w:rPr>
              <w:t>1</w:t>
            </w:r>
            <w:r>
              <w:rPr>
                <w:rFonts w:hint="eastAsia" w:ascii="仿宋_GB2312" w:hAnsi="楷体" w:cs="楷体"/>
                <w:b/>
                <w:bCs/>
                <w:szCs w:val="30"/>
              </w:rPr>
              <w:t>3</w:t>
            </w:r>
            <w:r>
              <w:rPr>
                <w:rFonts w:ascii="仿宋_GB2312" w:hAnsi="楷体" w:cs="楷体"/>
                <w:b/>
                <w:bCs/>
                <w:szCs w:val="30"/>
              </w:rPr>
              <w:t>-1</w:t>
            </w:r>
            <w:r>
              <w:rPr>
                <w:rFonts w:hint="eastAsia" w:ascii="仿宋_GB2312" w:hAnsi="楷体" w:cs="楷体"/>
                <w:b/>
                <w:bCs/>
                <w:szCs w:val="30"/>
              </w:rPr>
              <w:t>：公共治理建设工程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b/>
                <w:bCs/>
                <w:sz w:val="24"/>
                <w:szCs w:val="24"/>
              </w:rPr>
            </w:pPr>
            <w:r>
              <w:rPr>
                <w:rFonts w:hint="eastAsia" w:ascii="仿宋_GB2312" w:hAnsi="仿宋_GB2312" w:cs="仿宋_GB2312"/>
                <w:b/>
                <w:bCs/>
                <w:sz w:val="24"/>
                <w:szCs w:val="24"/>
              </w:rPr>
              <w:t>数字政府建设项目：</w:t>
            </w:r>
            <w:r>
              <w:rPr>
                <w:rFonts w:hint="eastAsia" w:ascii="仿宋_GB2312" w:hAnsi="仿宋_GB2312" w:cs="仿宋_GB2312"/>
                <w:sz w:val="24"/>
                <w:szCs w:val="24"/>
              </w:rPr>
              <w:t>提升数字政府服务效能，重点推进宁德市云计算中心项目、智慧东侨、智慧古田建设项目、古田县行政服务中心、屏南县公共服务中心建设项目等。</w:t>
            </w:r>
          </w:p>
          <w:p>
            <w:pPr>
              <w:keepNext w:val="0"/>
              <w:keepLines w:val="0"/>
              <w:pageBreakBefore w:val="0"/>
              <w:widowControl w:val="0"/>
              <w:kinsoku/>
              <w:wordWrap/>
              <w:overflowPunct/>
              <w:topLinePunct w:val="0"/>
              <w:autoSpaceDE/>
              <w:autoSpaceDN/>
              <w:bidi w:val="0"/>
              <w:adjustRightInd/>
              <w:snapToGrid/>
              <w:spacing w:line="400" w:lineRule="exact"/>
              <w:ind w:firstLine="198" w:firstLineChars="82"/>
              <w:textAlignment w:val="auto"/>
              <w:rPr>
                <w:rFonts w:ascii="仿宋_GB2312" w:cs="仿宋_GB2312"/>
                <w:sz w:val="24"/>
                <w:szCs w:val="24"/>
              </w:rPr>
            </w:pPr>
            <w:r>
              <w:rPr>
                <w:rFonts w:hint="eastAsia" w:ascii="仿宋_GB2312" w:hAnsi="仿宋_GB2312" w:cs="仿宋_GB2312"/>
                <w:b/>
                <w:bCs/>
                <w:sz w:val="24"/>
                <w:szCs w:val="24"/>
              </w:rPr>
              <w:t>“智慧党建”基层治理系统建设项目</w:t>
            </w:r>
            <w:r>
              <w:rPr>
                <w:rFonts w:hint="eastAsia" w:ascii="仿宋_GB2312" w:hAnsi="仿宋_GB2312" w:cs="仿宋_GB2312"/>
                <w:sz w:val="24"/>
                <w:szCs w:val="24"/>
              </w:rPr>
              <w:t>：</w:t>
            </w:r>
            <w:r>
              <w:rPr>
                <w:rFonts w:ascii="仿宋_GB2312" w:hAnsi="仿宋_GB2312" w:cs="仿宋_GB2312"/>
                <w:sz w:val="24"/>
                <w:szCs w:val="24"/>
              </w:rPr>
              <w:t>2025</w:t>
            </w:r>
            <w:r>
              <w:rPr>
                <w:rFonts w:hint="eastAsia" w:ascii="仿宋_GB2312" w:hAnsi="仿宋_GB2312" w:cs="仿宋_GB2312"/>
                <w:sz w:val="24"/>
                <w:szCs w:val="24"/>
              </w:rPr>
              <w:t>年底前，街道、社区管理幅度和管理体制更加适应城市建设发展和基层治理形势，“智慧党建”基层治理系统覆盖全市，城市社区党群活动服务中心普遍达到</w:t>
            </w:r>
            <w:r>
              <w:rPr>
                <w:rFonts w:ascii="仿宋_GB2312" w:hAnsi="仿宋_GB2312" w:cs="仿宋_GB2312"/>
                <w:sz w:val="24"/>
                <w:szCs w:val="24"/>
              </w:rPr>
              <w:t>500</w:t>
            </w:r>
            <w:r>
              <w:rPr>
                <w:rFonts w:hint="eastAsia" w:ascii="仿宋_GB2312" w:hAnsi="仿宋_GB2312" w:cs="仿宋_GB2312"/>
                <w:sz w:val="24"/>
                <w:szCs w:val="24"/>
              </w:rPr>
              <w:t>平方米以上，建成城市“红色驿站”</w:t>
            </w:r>
            <w:r>
              <w:rPr>
                <w:rFonts w:ascii="仿宋_GB2312" w:hAnsi="仿宋_GB2312" w:cs="仿宋_GB2312"/>
                <w:sz w:val="24"/>
                <w:szCs w:val="24"/>
              </w:rPr>
              <w:t>400</w:t>
            </w:r>
            <w:r>
              <w:rPr>
                <w:rFonts w:hint="eastAsia" w:ascii="仿宋_GB2312" w:hAnsi="仿宋_GB2312" w:cs="仿宋_GB2312"/>
                <w:sz w:val="24"/>
                <w:szCs w:val="24"/>
              </w:rPr>
              <w:t>个，全市小区</w:t>
            </w:r>
            <w:r>
              <w:rPr>
                <w:rFonts w:ascii="仿宋_GB2312" w:hAnsi="仿宋_GB2312" w:cs="仿宋_GB2312"/>
                <w:sz w:val="24"/>
                <w:szCs w:val="24"/>
              </w:rPr>
              <w:t>100%</w:t>
            </w:r>
            <w:r>
              <w:rPr>
                <w:rFonts w:hint="eastAsia" w:ascii="仿宋_GB2312" w:hAnsi="仿宋_GB2312" w:cs="仿宋_GB2312"/>
                <w:sz w:val="24"/>
                <w:szCs w:val="24"/>
              </w:rPr>
              <w:t>建立党支部（党小组），实现城市居民小区、商圈、市场、园区等城市各领域，党的组织和工作全覆盖。</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908" w:name="_Toc57320208"/>
      <w:bookmarkStart w:id="909" w:name="_Toc57326055"/>
      <w:bookmarkStart w:id="910" w:name="_Toc13407"/>
      <w:bookmarkStart w:id="911" w:name="_Toc22583"/>
      <w:bookmarkStart w:id="912" w:name="_Toc10810"/>
      <w:bookmarkStart w:id="913" w:name="_Toc29368"/>
      <w:bookmarkStart w:id="914" w:name="_Toc23212"/>
      <w:bookmarkStart w:id="915" w:name="_Toc24253"/>
      <w:bookmarkStart w:id="916" w:name="_Toc10691"/>
      <w:bookmarkStart w:id="917" w:name="_Toc22880"/>
      <w:bookmarkStart w:id="918" w:name="_Toc18735"/>
      <w:bookmarkStart w:id="919" w:name="_Toc75"/>
      <w:bookmarkStart w:id="920" w:name="_Toc7946"/>
      <w:bookmarkStart w:id="921" w:name="_Toc61117398"/>
      <w:bookmarkStart w:id="922" w:name="_Toc58779757"/>
      <w:bookmarkStart w:id="923" w:name="_Toc29541"/>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第二节</w:t>
      </w:r>
      <w:r>
        <w:rPr>
          <w:rFonts w:hint="eastAsia" w:ascii="楷体" w:hAnsi="楷体" w:eastAsia="楷体"/>
          <w:sz w:val="32"/>
          <w:szCs w:val="36"/>
          <w:lang w:val="en-US" w:eastAsia="zh-CN"/>
        </w:rPr>
        <w:t xml:space="preserve"> </w:t>
      </w:r>
      <w:r>
        <w:rPr>
          <w:rFonts w:ascii="楷体" w:hAnsi="楷体" w:eastAsia="楷体"/>
          <w:sz w:val="32"/>
          <w:szCs w:val="36"/>
        </w:rPr>
        <w:t xml:space="preserve"> </w:t>
      </w:r>
      <w:r>
        <w:rPr>
          <w:rFonts w:hint="eastAsia" w:ascii="楷体" w:hAnsi="楷体" w:eastAsia="楷体"/>
          <w:sz w:val="32"/>
          <w:szCs w:val="36"/>
        </w:rPr>
        <w:t>加快推动</w:t>
      </w:r>
      <w:bookmarkEnd w:id="908"/>
      <w:bookmarkEnd w:id="909"/>
      <w:r>
        <w:rPr>
          <w:rFonts w:hint="eastAsia" w:ascii="楷体" w:hAnsi="楷体" w:eastAsia="楷体"/>
          <w:sz w:val="32"/>
          <w:szCs w:val="36"/>
        </w:rPr>
        <w:t>平安宁德建设</w:t>
      </w:r>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坚决维护国家政治经济安全，重点完善社会治安防控体系，健全应急管理体系，推动“平安宁德”建设迈上新台阶，为全方位推动宁德高质量发展超越创造安全稳定的社会环境。</w:t>
      </w:r>
    </w:p>
    <w:p>
      <w:pPr>
        <w:pStyle w:val="5"/>
        <w:pageBreakBefore w:val="0"/>
        <w:kinsoku/>
        <w:wordWrap/>
        <w:overflowPunct/>
        <w:topLinePunct w:val="0"/>
        <w:autoSpaceDE/>
        <w:autoSpaceDN/>
        <w:bidi w:val="0"/>
        <w:spacing w:line="600" w:lineRule="exact"/>
        <w:ind w:firstLine="602"/>
        <w:textAlignment w:val="auto"/>
      </w:pPr>
      <w:r>
        <w:rPr>
          <w:rFonts w:hint="eastAsia"/>
        </w:rPr>
        <w:t>一、巩固国家安全防线</w:t>
      </w:r>
    </w:p>
    <w:p>
      <w:pPr>
        <w:pageBreakBefore w:val="0"/>
        <w:kinsoku/>
        <w:wordWrap/>
        <w:overflowPunct/>
        <w:topLinePunct w:val="0"/>
        <w:autoSpaceDE/>
        <w:autoSpaceDN/>
        <w:bidi w:val="0"/>
        <w:spacing w:line="600" w:lineRule="exact"/>
        <w:ind w:firstLine="600"/>
        <w:textAlignment w:val="auto"/>
      </w:pPr>
      <w:r>
        <w:rPr>
          <w:rFonts w:hint="eastAsia"/>
        </w:rPr>
        <w:t>完善国家安全工作体系，建立健全风险研判、防控协调、防范化解等机制，开展国家安全宣传教育活动，增强全民国家安全意识。坚定维护国家政权安全、制度安全、意识形态安全、国家秘密安全，全面加强网络安全保障体系和能力建设。严密防范和坚决打击敌对势力渗透、破坏、颠覆、分裂活动。积极服务国防和军队现代化建设，完善军民融合发展体制机制，大力推动环三都澳湾区军民基础设施统筹建设、科技协同创新、两用人才培养和军队保障社会化。大力发展国防科技工业，加快标准化通用化进程。完善国防动员体系，加强人民防空工作。深化平安海域建设，推进“智慧海防”建设，构建党政军警民合力强边固防的新格局。强化全民国防教育，完善双拥工作机制，巩固提升全国双拥模范城创建成果，巩固军政军民团结。</w:t>
      </w:r>
    </w:p>
    <w:p>
      <w:pPr>
        <w:pStyle w:val="5"/>
        <w:pageBreakBefore w:val="0"/>
        <w:numPr>
          <w:ilvl w:val="255"/>
          <w:numId w:val="0"/>
        </w:numPr>
        <w:kinsoku/>
        <w:wordWrap/>
        <w:overflowPunct/>
        <w:topLinePunct w:val="0"/>
        <w:autoSpaceDE/>
        <w:autoSpaceDN/>
        <w:bidi w:val="0"/>
        <w:spacing w:line="600" w:lineRule="exact"/>
        <w:ind w:left="602"/>
        <w:textAlignment w:val="auto"/>
      </w:pPr>
      <w:r>
        <w:rPr>
          <w:rFonts w:hint="eastAsia"/>
        </w:rPr>
        <w:t>二、提高经济安全保障能力</w:t>
      </w:r>
    </w:p>
    <w:p>
      <w:pPr>
        <w:pageBreakBefore w:val="0"/>
        <w:kinsoku/>
        <w:wordWrap/>
        <w:overflowPunct/>
        <w:topLinePunct w:val="0"/>
        <w:autoSpaceDE/>
        <w:autoSpaceDN/>
        <w:bidi w:val="0"/>
        <w:spacing w:line="600" w:lineRule="exact"/>
        <w:ind w:firstLine="600"/>
        <w:textAlignment w:val="auto"/>
      </w:pPr>
      <w:r>
        <w:rPr>
          <w:rFonts w:hint="eastAsia"/>
        </w:rPr>
        <w:t>加强经济安全风险预警、防控机制和能力建设，强化市县协同、政银企联动，严厉打击违法违规金融活动。保障和维护重要产业、基础设施、战略资源、重大科技等领域安全。提高产业链供应链韧性，常态化开展断链断供风险排查，防范化解先进制造业“卡脖子”技术风险，提升关键环节、关键领域、关键产品保障能力。实施粮食安全战略，保障粮食和重要副食品生产稳定，加强粮食仓储、物流和应急供应能力建设。确保能源安全、生态安全，加强核安全监管，维护新型领域安全。</w:t>
      </w:r>
    </w:p>
    <w:p>
      <w:pPr>
        <w:pStyle w:val="5"/>
        <w:pageBreakBefore w:val="0"/>
        <w:kinsoku/>
        <w:wordWrap/>
        <w:overflowPunct/>
        <w:topLinePunct w:val="0"/>
        <w:autoSpaceDE/>
        <w:autoSpaceDN/>
        <w:bidi w:val="0"/>
        <w:spacing w:line="600" w:lineRule="exact"/>
        <w:ind w:firstLine="602"/>
        <w:textAlignment w:val="auto"/>
      </w:pPr>
      <w:r>
        <w:rPr>
          <w:rFonts w:hint="eastAsia"/>
        </w:rPr>
        <w:t>三、完善社会治安防控体系</w:t>
      </w:r>
    </w:p>
    <w:p>
      <w:pPr>
        <w:pageBreakBefore w:val="0"/>
        <w:kinsoku/>
        <w:wordWrap/>
        <w:overflowPunct/>
        <w:topLinePunct w:val="0"/>
        <w:autoSpaceDE/>
        <w:autoSpaceDN/>
        <w:bidi w:val="0"/>
        <w:spacing w:line="600" w:lineRule="exact"/>
        <w:ind w:firstLine="600"/>
        <w:textAlignment w:val="auto"/>
      </w:pPr>
      <w:r>
        <w:rPr>
          <w:rFonts w:hint="eastAsia"/>
        </w:rPr>
        <w:t>依托多维物联数据智能感知圈，建设公安大数据平台，推进社会治安防控大数据智能化应用。大力创建社会治安防控体系标准化城市，加快建设社会治安防控体系，构建“圈层查控、单元防控、要素管控”的防控体系总体框架，全面提升社会治安立体化、法治化、专业化、智能化水平。坚持和完善“四下基层”工作制度，创新发展新时代“枫桥经验”，推广“最多投一次”阳光信访、“信访评理室”等机制做法，完善调解联动工作体系，构建源头防控、排查梳理、纠纷化解、应急处置的社会矛盾综合治理机制，创建“无信访积案县”。全面实施“智慧政法”战略，建立健全跨部门大数据平台和基层治理智能化平台，做优做强各级综治中心，深化“雪亮工程”和“智慧社区”建设联网应用。健全社会心理服务体系和危机干预机制。全面推行公安派出所所长兼任乡镇（街道）、社区（驻村）民警兼任村（居）委员会班子成员制度，提升社区农村警务建设水平。坚决防范和打击暴力恐怖、黑恶势力、新型网络犯罪和跨国犯罪，推动扫黑除恶常治长效，保持社会和谐稳定。</w:t>
      </w:r>
    </w:p>
    <w:p>
      <w:pPr>
        <w:pStyle w:val="5"/>
        <w:pageBreakBefore w:val="0"/>
        <w:kinsoku/>
        <w:wordWrap/>
        <w:overflowPunct/>
        <w:topLinePunct w:val="0"/>
        <w:autoSpaceDE/>
        <w:autoSpaceDN/>
        <w:bidi w:val="0"/>
        <w:spacing w:line="600" w:lineRule="exact"/>
        <w:ind w:firstLine="602"/>
        <w:textAlignment w:val="auto"/>
      </w:pPr>
      <w:r>
        <w:rPr>
          <w:rFonts w:hint="eastAsia"/>
        </w:rPr>
        <w:t>四、健全应急管理体系</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深化应急管理体制机制改革，完善市级应急联动工作机制，支持社会应急力量建设，推进军地应急队伍融合建设，加快建设宁德市应急管理信息平台，提高应对突发事件应急救援能力。推进应急预案、应急物资装备保障体系建设。全面落实企业安全生产主体责任，健全安全生产风险管控和隐患排查治理双重预防机制，打造安全生产“131”精准工作法2.0版本。深入开展危险化学品、矿山、烟花爆竹、冶金、建筑施工、水上安全、道路交通、消防等重点行业领域专项整治工作。强化食品药品质量安全监管，持续深化“餐桌污染”治理，建设“食品放心工程”，完善食品药品安全现代化治理体系。推进应急管理综合行政执法改革，完善安全生产综合协调、联合执法机制。开展灾害风险普查，加强自然灾害治理，推进基层综合防灾减灾标准化建设，提高防汛防台抗旱、森林火灾、地质灾害、地震等工程标准，推进水库除险加固和堤防建设，建立完善自然灾害救助标准和调拨体系。强化应急管理、安全生产、防灾减灾宣传教育培训工作，提升公众安全防范意识和自救互救能力。</w:t>
      </w:r>
    </w:p>
    <w:tbl>
      <w:tblPr>
        <w:tblStyle w:val="2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keepNext w:val="0"/>
              <w:keepLines w:val="0"/>
              <w:pageBreakBefore w:val="0"/>
              <w:widowControl w:val="0"/>
              <w:kinsoku/>
              <w:wordWrap/>
              <w:overflowPunct/>
              <w:topLinePunct w:val="0"/>
              <w:autoSpaceDE/>
              <w:autoSpaceDN/>
              <w:bidi w:val="0"/>
              <w:adjustRightInd/>
              <w:snapToGrid/>
              <w:spacing w:line="400" w:lineRule="exact"/>
              <w:ind w:firstLine="0" w:firstLineChars="0"/>
              <w:jc w:val="center"/>
              <w:textAlignment w:val="auto"/>
              <w:rPr>
                <w:rFonts w:ascii="楷体" w:hAnsi="楷体" w:eastAsia="楷体" w:cs="楷体"/>
                <w:szCs w:val="30"/>
              </w:rPr>
            </w:pPr>
            <w:r>
              <w:rPr>
                <w:rFonts w:hint="eastAsia" w:ascii="仿宋_GB2312" w:hAnsi="楷体" w:cs="楷体"/>
                <w:b/>
                <w:bCs/>
                <w:szCs w:val="30"/>
              </w:rPr>
              <w:t>专栏</w:t>
            </w:r>
            <w:r>
              <w:rPr>
                <w:rFonts w:ascii="仿宋_GB2312" w:hAnsi="楷体" w:cs="楷体"/>
                <w:b/>
                <w:bCs/>
                <w:szCs w:val="30"/>
              </w:rPr>
              <w:t>1</w:t>
            </w:r>
            <w:r>
              <w:rPr>
                <w:rFonts w:hint="eastAsia" w:ascii="仿宋_GB2312" w:hAnsi="楷体" w:cs="楷体"/>
                <w:b/>
                <w:bCs/>
                <w:szCs w:val="30"/>
              </w:rPr>
              <w:t>3</w:t>
            </w:r>
            <w:r>
              <w:rPr>
                <w:rFonts w:ascii="仿宋_GB2312" w:hAnsi="楷体" w:cs="楷体"/>
                <w:b/>
                <w:bCs/>
                <w:szCs w:val="30"/>
              </w:rPr>
              <w:t>-</w:t>
            </w:r>
            <w:r>
              <w:rPr>
                <w:rFonts w:hint="eastAsia" w:ascii="仿宋_GB2312" w:hAnsi="楷体" w:cs="楷体"/>
                <w:b/>
                <w:bCs/>
                <w:szCs w:val="30"/>
              </w:rPr>
              <w:t>2：“平安宁德”建设工程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tcPr>
          <w:p>
            <w:pPr>
              <w:keepNext w:val="0"/>
              <w:keepLines w:val="0"/>
              <w:pageBreakBefore w:val="0"/>
              <w:widowControl w:val="0"/>
              <w:kinsoku/>
              <w:wordWrap/>
              <w:overflowPunct/>
              <w:topLinePunct w:val="0"/>
              <w:autoSpaceDE/>
              <w:autoSpaceDN/>
              <w:bidi w:val="0"/>
              <w:adjustRightInd/>
              <w:snapToGrid/>
              <w:spacing w:line="400" w:lineRule="exact"/>
              <w:ind w:firstLine="482"/>
              <w:textAlignment w:val="auto"/>
              <w:rPr>
                <w:rFonts w:ascii="仿宋_GB2312" w:cs="仿宋_GB2312"/>
                <w:sz w:val="24"/>
                <w:szCs w:val="24"/>
              </w:rPr>
            </w:pPr>
            <w:r>
              <w:rPr>
                <w:rFonts w:hint="eastAsia" w:ascii="仿宋_GB2312" w:hAnsi="仿宋_GB2312" w:cs="仿宋_GB2312"/>
                <w:b/>
                <w:bCs/>
                <w:sz w:val="24"/>
                <w:szCs w:val="24"/>
              </w:rPr>
              <w:t>社会治安防控建设项目：</w:t>
            </w:r>
            <w:r>
              <w:rPr>
                <w:rFonts w:hint="eastAsia" w:ascii="仿宋_GB2312" w:hAnsi="仿宋_GB2312" w:cs="仿宋_GB2312"/>
                <w:sz w:val="24"/>
                <w:szCs w:val="24"/>
              </w:rPr>
              <w:t>推进宁德市人民警察训练基地、寿宁县公安局警务技能训练基地、宁德市公安机关大数据智能化等项目建设。</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0"/>
              <w:textAlignment w:val="auto"/>
              <w:rPr>
                <w:rFonts w:ascii="仿宋_GB2312" w:cs="仿宋_GB2312"/>
                <w:sz w:val="24"/>
                <w:szCs w:val="24"/>
              </w:rPr>
            </w:pPr>
            <w:r>
              <w:rPr>
                <w:rFonts w:hint="eastAsia" w:ascii="仿宋_GB2312" w:hAnsi="仿宋_GB2312" w:cs="仿宋_GB2312"/>
                <w:b/>
                <w:bCs/>
                <w:sz w:val="24"/>
                <w:szCs w:val="24"/>
              </w:rPr>
              <w:t>应急管理建设项目：</w:t>
            </w:r>
            <w:r>
              <w:rPr>
                <w:rFonts w:hint="eastAsia" w:ascii="仿宋_GB2312" w:hAnsi="仿宋_GB2312" w:cs="仿宋_GB2312"/>
                <w:sz w:val="24"/>
                <w:szCs w:val="24"/>
              </w:rPr>
              <w:t>推进宁德市应急管理信息化、全市自然灾害综合风险普查，周宁、福安等地应急救援综合训练基地建设，推进古田、寿宁等县市应急物资储备中心、抗旱应急水源工程等项目建设。</w:t>
            </w:r>
          </w:p>
        </w:tc>
      </w:tr>
    </w:tbl>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924" w:name="_Toc10685"/>
      <w:bookmarkStart w:id="925" w:name="_Toc31821"/>
      <w:bookmarkStart w:id="926" w:name="_Toc18406"/>
      <w:bookmarkStart w:id="927" w:name="_Toc1972"/>
      <w:bookmarkStart w:id="928" w:name="_Toc18609"/>
      <w:bookmarkStart w:id="929" w:name="_Toc16545"/>
      <w:bookmarkStart w:id="930" w:name="_Toc19607"/>
      <w:bookmarkStart w:id="931" w:name="_Toc31120"/>
      <w:bookmarkStart w:id="932" w:name="_Toc13884"/>
      <w:bookmarkStart w:id="933" w:name="_Toc23834"/>
      <w:bookmarkStart w:id="934" w:name="_Toc61117399"/>
      <w:bookmarkStart w:id="935" w:name="_Toc57326057"/>
      <w:bookmarkStart w:id="936" w:name="_Toc57320210"/>
      <w:bookmarkStart w:id="937" w:name="_Toc58779758"/>
      <w:bookmarkStart w:id="938" w:name="_Toc5887"/>
      <w:bookmarkStart w:id="939" w:name="_Toc19114"/>
    </w:p>
    <w:p>
      <w:pPr>
        <w:pStyle w:val="4"/>
        <w:pageBreakBefore w:val="0"/>
        <w:kinsoku/>
        <w:wordWrap/>
        <w:overflowPunct/>
        <w:topLinePunct w:val="0"/>
        <w:autoSpaceDE/>
        <w:autoSpaceDN/>
        <w:bidi w:val="0"/>
        <w:spacing w:beforeLines="0" w:afterLines="0" w:line="600" w:lineRule="exact"/>
        <w:ind w:firstLine="0" w:firstLineChars="0"/>
        <w:textAlignment w:val="auto"/>
        <w:rPr>
          <w:rFonts w:ascii="楷体" w:hAnsi="楷体" w:eastAsia="楷体"/>
          <w:sz w:val="32"/>
          <w:szCs w:val="36"/>
        </w:rPr>
      </w:pPr>
      <w:r>
        <w:rPr>
          <w:rFonts w:hint="eastAsia" w:ascii="楷体" w:hAnsi="楷体" w:eastAsia="楷体"/>
          <w:sz w:val="32"/>
          <w:szCs w:val="36"/>
        </w:rPr>
        <w:t>第三节</w:t>
      </w:r>
      <w:r>
        <w:rPr>
          <w:rFonts w:ascii="楷体" w:hAnsi="楷体" w:eastAsia="楷体"/>
          <w:sz w:val="32"/>
          <w:szCs w:val="36"/>
        </w:rPr>
        <w:t xml:space="preserve"> </w:t>
      </w:r>
      <w:r>
        <w:rPr>
          <w:rFonts w:hint="eastAsia" w:ascii="楷体" w:hAnsi="楷体" w:eastAsia="楷体"/>
          <w:sz w:val="32"/>
          <w:szCs w:val="36"/>
          <w:lang w:val="en-US" w:eastAsia="zh-CN"/>
        </w:rPr>
        <w:t xml:space="preserve"> </w:t>
      </w:r>
      <w:r>
        <w:rPr>
          <w:rFonts w:hint="eastAsia" w:ascii="楷体" w:hAnsi="楷体" w:eastAsia="楷体"/>
          <w:sz w:val="32"/>
          <w:szCs w:val="36"/>
        </w:rPr>
        <w:t>持续深化法治宁德建设</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pPr>
      <w:r>
        <w:rPr>
          <w:rFonts w:hint="eastAsia"/>
        </w:rPr>
        <w:t>全面推进科学立法、严格执法、公正司法、全民守法，坚决贯彻依法治市，积极开展全民普法宣传行动，为宁德高质量发展提供坚实的法治保障。</w:t>
      </w:r>
    </w:p>
    <w:p>
      <w:pPr>
        <w:pStyle w:val="5"/>
        <w:pageBreakBefore w:val="0"/>
        <w:kinsoku/>
        <w:wordWrap/>
        <w:overflowPunct/>
        <w:topLinePunct w:val="0"/>
        <w:autoSpaceDE/>
        <w:autoSpaceDN/>
        <w:bidi w:val="0"/>
        <w:spacing w:line="600" w:lineRule="exact"/>
        <w:ind w:firstLine="602"/>
        <w:textAlignment w:val="auto"/>
      </w:pPr>
      <w:r>
        <w:rPr>
          <w:rFonts w:hint="eastAsia"/>
        </w:rPr>
        <w:t>一、强化和改进立法工作</w:t>
      </w:r>
    </w:p>
    <w:p>
      <w:pPr>
        <w:pageBreakBefore w:val="0"/>
        <w:kinsoku/>
        <w:wordWrap/>
        <w:overflowPunct/>
        <w:topLinePunct w:val="0"/>
        <w:autoSpaceDE/>
        <w:autoSpaceDN/>
        <w:bidi w:val="0"/>
        <w:spacing w:line="600" w:lineRule="exact"/>
        <w:ind w:firstLine="600"/>
        <w:textAlignment w:val="auto"/>
      </w:pPr>
      <w:r>
        <w:rPr>
          <w:rFonts w:hint="eastAsia"/>
        </w:rPr>
        <w:t>坚持党委领导、人大主导、政府依托、各方参与的“四位一体”立法工作格局，完善政府选题立项、组织协调、调研论证、草案拟定等机制。建立健全公众参与立法活动、立法后评估等制度，统筹推进立改废释。强化对未成年人、老年人、劳动者等特殊群体的立法保障工作，科学制定宁德市年度立法计划。重点推进生态环境保护、历史文化保护和城乡建设管理等方面出台具有宁德特色的地方性法规。</w:t>
      </w:r>
    </w:p>
    <w:p>
      <w:pPr>
        <w:pStyle w:val="5"/>
        <w:pageBreakBefore w:val="0"/>
        <w:kinsoku/>
        <w:wordWrap/>
        <w:overflowPunct/>
        <w:topLinePunct w:val="0"/>
        <w:autoSpaceDE/>
        <w:autoSpaceDN/>
        <w:bidi w:val="0"/>
        <w:spacing w:line="600" w:lineRule="exact"/>
        <w:ind w:firstLine="602"/>
        <w:textAlignment w:val="auto"/>
      </w:pPr>
      <w:r>
        <w:rPr>
          <w:rFonts w:hint="eastAsia"/>
        </w:rPr>
        <w:t>二、大力落实严格执法</w:t>
      </w:r>
    </w:p>
    <w:p>
      <w:pPr>
        <w:pageBreakBefore w:val="0"/>
        <w:kinsoku/>
        <w:wordWrap/>
        <w:overflowPunct/>
        <w:topLinePunct w:val="0"/>
        <w:autoSpaceDE/>
        <w:autoSpaceDN/>
        <w:bidi w:val="0"/>
        <w:spacing w:line="600" w:lineRule="exact"/>
        <w:ind w:firstLine="600"/>
        <w:textAlignment w:val="auto"/>
      </w:pPr>
      <w:r>
        <w:rPr>
          <w:rFonts w:hint="eastAsia"/>
        </w:rPr>
        <w:t>在决策过程中充分征询服务对象和社会意见建议，实现政务阳光透明，提高政府公信力。持续推行法律顾问和公职律师制度，建立决策纠错改正机制和执行效果评估机制，落实重大决策终身责任追究制度以及倒查机制，推进行政决策法治化。推行行政执法公示、执法全过程记录、重大执法决定法制审核“三项制度”。政府依法接受同级人大及其常委会和政协的监督，完善社会监督与舆论监督机制。全面推进政务公开，加强市县两级政府门户网站建设，及时解读回应公众的问题，增强政务公开实效。</w:t>
      </w:r>
    </w:p>
    <w:p>
      <w:pPr>
        <w:pStyle w:val="5"/>
        <w:pageBreakBefore w:val="0"/>
        <w:kinsoku/>
        <w:wordWrap/>
        <w:overflowPunct/>
        <w:topLinePunct w:val="0"/>
        <w:autoSpaceDE/>
        <w:autoSpaceDN/>
        <w:bidi w:val="0"/>
        <w:spacing w:line="600" w:lineRule="exact"/>
        <w:ind w:firstLine="602"/>
        <w:textAlignment w:val="auto"/>
      </w:pPr>
      <w:r>
        <w:rPr>
          <w:rFonts w:hint="eastAsia"/>
        </w:rPr>
        <w:t>三、严肃推进公正司法</w:t>
      </w:r>
    </w:p>
    <w:p>
      <w:pPr>
        <w:pageBreakBefore w:val="0"/>
        <w:kinsoku/>
        <w:wordWrap/>
        <w:overflowPunct/>
        <w:topLinePunct w:val="0"/>
        <w:autoSpaceDE/>
        <w:autoSpaceDN/>
        <w:bidi w:val="0"/>
        <w:spacing w:line="600" w:lineRule="exact"/>
        <w:ind w:firstLine="600"/>
        <w:textAlignment w:val="auto"/>
      </w:pPr>
      <w:r>
        <w:rPr>
          <w:rFonts w:hint="eastAsia"/>
        </w:rPr>
        <w:t>深化司法责任制综合配套改革，加快推进司法制约监督体系改革和建设。持续推进“数字法治·智慧司法”建设，加快构建覆盖司法行政全要素、全流程、全业务的综合平台与应用系统。全面推进一站式多元解纷机制、一站式诉讼服务中心建设，深入推进诉源治理和诉非联动中心建设。推进审判流程、庭审活动、裁判文书、执行信息“四大公开平台”建设，加强法院自有媒体建设和新闻宣传工作。不断深化“党委领导、政法委协调、人大监督、政府支持、法院主办、部门联动、社会参与”的解决执行难综合治理工作大格局，深入推进失信被执行人联合惩戒和联合信用修复正向激励机制建设，积极开展审判执行工作专项行动。</w:t>
      </w:r>
    </w:p>
    <w:p>
      <w:pPr>
        <w:pStyle w:val="5"/>
        <w:pageBreakBefore w:val="0"/>
        <w:kinsoku/>
        <w:wordWrap/>
        <w:overflowPunct/>
        <w:topLinePunct w:val="0"/>
        <w:autoSpaceDE/>
        <w:autoSpaceDN/>
        <w:bidi w:val="0"/>
        <w:spacing w:line="600" w:lineRule="exact"/>
        <w:ind w:firstLine="602"/>
        <w:textAlignment w:val="auto"/>
      </w:pPr>
      <w:r>
        <w:rPr>
          <w:rFonts w:hint="eastAsia"/>
        </w:rPr>
        <w:t>四、积极引导全民守法</w:t>
      </w:r>
    </w:p>
    <w:p>
      <w:pPr>
        <w:pageBreakBefore w:val="0"/>
        <w:kinsoku/>
        <w:wordWrap/>
        <w:overflowPunct/>
        <w:topLinePunct w:val="0"/>
        <w:autoSpaceDE/>
        <w:autoSpaceDN/>
        <w:bidi w:val="0"/>
        <w:spacing w:line="600" w:lineRule="exact"/>
        <w:ind w:firstLine="600"/>
        <w:textAlignment w:val="auto"/>
        <w:rPr>
          <w:rFonts w:hint="eastAsia" w:ascii="仿宋_GB2312"/>
        </w:rPr>
      </w:pPr>
      <w:r>
        <w:rPr>
          <w:rFonts w:hint="eastAsia" w:ascii="仿宋_GB2312"/>
        </w:rPr>
        <w:t>深化法治宣传教育，扎实推进“八五”普法工作，持续落实国家机关“谁执法谁普法”普法责任制，持续开展法律进机关、进乡村、进社区、进学校、进企业、进单位的主题活动。加快推进公共法律服务体系建设，持续建设实体平台、热线平台、网络平台“三大平台”，不断扩大法律援助中心、律师事务所、法律援助工作站等实体平台服务范围，加大“12348”热线平台、“12348福建法网”网络平台的宣传推广力度。强化法院、检察院、公安局、司法局、工会等部门联动，深化联动服务平台建设，实现“一站式”公共法律服务。</w:t>
      </w:r>
    </w:p>
    <w:p>
      <w:pPr>
        <w:pageBreakBefore w:val="0"/>
        <w:widowControl/>
        <w:kinsoku/>
        <w:wordWrap/>
        <w:overflowPunct/>
        <w:topLinePunct w:val="0"/>
        <w:autoSpaceDE/>
        <w:autoSpaceDN/>
        <w:bidi w:val="0"/>
        <w:spacing w:line="600" w:lineRule="exact"/>
        <w:ind w:firstLine="0" w:firstLineChars="0"/>
        <w:textAlignment w:val="auto"/>
      </w:pPr>
      <w:r>
        <w:br w:type="page"/>
      </w:r>
    </w:p>
    <w:p>
      <w:pPr>
        <w:pStyle w:val="3"/>
        <w:pageBreakBefore w:val="0"/>
        <w:kinsoku/>
        <w:wordWrap/>
        <w:overflowPunct/>
        <w:topLinePunct w:val="0"/>
        <w:autoSpaceDE/>
        <w:autoSpaceDN/>
        <w:bidi w:val="0"/>
        <w:spacing w:line="600" w:lineRule="exact"/>
        <w:textAlignment w:val="auto"/>
        <w:rPr>
          <w:rFonts w:hint="eastAsia" w:ascii="黑体" w:hAnsi="黑体" w:eastAsia="黑体"/>
          <w:sz w:val="32"/>
          <w:szCs w:val="48"/>
        </w:rPr>
      </w:pPr>
      <w:bookmarkStart w:id="940" w:name="_Toc11322"/>
      <w:bookmarkStart w:id="941" w:name="_Toc31078"/>
      <w:bookmarkStart w:id="942" w:name="_Toc5507"/>
      <w:bookmarkStart w:id="943" w:name="_Toc16098"/>
      <w:bookmarkStart w:id="944" w:name="_Toc32327"/>
      <w:bookmarkStart w:id="945" w:name="_Toc58779759"/>
      <w:bookmarkStart w:id="946" w:name="_Toc22224"/>
      <w:bookmarkStart w:id="947" w:name="_Toc2150"/>
      <w:bookmarkStart w:id="948" w:name="_Toc61117400"/>
      <w:bookmarkStart w:id="949" w:name="_Toc9094"/>
      <w:bookmarkStart w:id="950" w:name="_Toc15423"/>
      <w:bookmarkStart w:id="951" w:name="_Toc29596"/>
      <w:bookmarkStart w:id="952" w:name="_Toc3845"/>
      <w:bookmarkStart w:id="953" w:name="_Toc55935832"/>
      <w:bookmarkStart w:id="954" w:name="_Toc28062"/>
      <w:bookmarkStart w:id="955" w:name="_Toc56970465"/>
    </w:p>
    <w:p>
      <w:pPr>
        <w:pStyle w:val="3"/>
        <w:pageBreakBefore w:val="0"/>
        <w:kinsoku/>
        <w:wordWrap/>
        <w:overflowPunct/>
        <w:topLinePunct w:val="0"/>
        <w:autoSpaceDE/>
        <w:autoSpaceDN/>
        <w:bidi w:val="0"/>
        <w:spacing w:line="600" w:lineRule="exact"/>
        <w:textAlignment w:val="auto"/>
        <w:rPr>
          <w:rFonts w:ascii="黑体" w:hAnsi="黑体" w:eastAsia="黑体"/>
          <w:sz w:val="32"/>
          <w:szCs w:val="48"/>
        </w:rPr>
      </w:pPr>
      <w:r>
        <w:rPr>
          <w:rFonts w:hint="eastAsia" w:ascii="黑体" w:hAnsi="黑体" w:eastAsia="黑体"/>
          <w:b w:val="0"/>
          <w:bCs w:val="0"/>
          <w:sz w:val="32"/>
          <w:szCs w:val="48"/>
        </w:rPr>
        <w:t>第十四章</w:t>
      </w:r>
      <w:r>
        <w:rPr>
          <w:rFonts w:ascii="黑体" w:hAnsi="黑体" w:eastAsia="黑体"/>
          <w:b w:val="0"/>
          <w:bCs w:val="0"/>
          <w:sz w:val="32"/>
          <w:szCs w:val="48"/>
        </w:rPr>
        <w:t xml:space="preserve"> </w:t>
      </w:r>
      <w:r>
        <w:rPr>
          <w:rFonts w:hint="eastAsia" w:ascii="黑体" w:hAnsi="黑体" w:eastAsia="黑体"/>
          <w:b w:val="0"/>
          <w:bCs w:val="0"/>
          <w:sz w:val="32"/>
          <w:szCs w:val="48"/>
          <w:lang w:val="en-US" w:eastAsia="zh-CN"/>
        </w:rPr>
        <w:t xml:space="preserve"> </w:t>
      </w:r>
      <w:r>
        <w:rPr>
          <w:rFonts w:hint="eastAsia" w:ascii="黑体" w:hAnsi="黑体" w:eastAsia="黑体"/>
          <w:b w:val="0"/>
          <w:bCs w:val="0"/>
          <w:sz w:val="32"/>
          <w:szCs w:val="48"/>
        </w:rPr>
        <w:t>强化规划实施保障</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p>
    <w:p>
      <w:pPr>
        <w:pageBreakBefore w:val="0"/>
        <w:kinsoku/>
        <w:wordWrap/>
        <w:overflowPunct/>
        <w:topLinePunct w:val="0"/>
        <w:autoSpaceDE/>
        <w:autoSpaceDN/>
        <w:bidi w:val="0"/>
        <w:spacing w:line="600" w:lineRule="exact"/>
        <w:ind w:firstLine="600"/>
        <w:textAlignment w:val="auto"/>
        <w:rPr>
          <w:rFonts w:hint="eastAsia"/>
        </w:rPr>
      </w:pPr>
    </w:p>
    <w:p>
      <w:pPr>
        <w:pageBreakBefore w:val="0"/>
        <w:kinsoku/>
        <w:wordWrap/>
        <w:overflowPunct/>
        <w:topLinePunct w:val="0"/>
        <w:autoSpaceDE/>
        <w:autoSpaceDN/>
        <w:bidi w:val="0"/>
        <w:spacing w:line="600" w:lineRule="exact"/>
        <w:ind w:firstLine="600"/>
        <w:textAlignment w:val="auto"/>
        <w:rPr>
          <w:rFonts w:hint="eastAsia"/>
        </w:rPr>
      </w:pPr>
      <w:r>
        <w:rPr>
          <w:rFonts w:hint="eastAsia"/>
        </w:rPr>
        <w:t>本规划经过市人民代表大会审议批准，是未来五年我市</w:t>
      </w:r>
      <w:r>
        <w:rPr>
          <w:rFonts w:hint="eastAsia"/>
          <w:lang w:eastAsia="zh-CN"/>
        </w:rPr>
        <w:t>经济社会发展</w:t>
      </w:r>
      <w:r>
        <w:rPr>
          <w:rFonts w:hint="eastAsia"/>
        </w:rPr>
        <w:t>的宏伟蓝图。强化政策协同，健全实施机制，举全市之力确保完成规划确定的目标和任务。</w:t>
      </w:r>
    </w:p>
    <w:p>
      <w:pPr>
        <w:pageBreakBefore w:val="0"/>
        <w:kinsoku/>
        <w:wordWrap/>
        <w:overflowPunct/>
        <w:topLinePunct w:val="0"/>
        <w:autoSpaceDE/>
        <w:autoSpaceDN/>
        <w:bidi w:val="0"/>
        <w:spacing w:line="600" w:lineRule="exact"/>
        <w:ind w:firstLine="600"/>
        <w:textAlignment w:val="auto"/>
        <w:rPr>
          <w:rFonts w:hint="eastAsia"/>
        </w:rPr>
      </w:pPr>
    </w:p>
    <w:p>
      <w:pPr>
        <w:pStyle w:val="4"/>
        <w:pageBreakBefore w:val="0"/>
        <w:numPr>
          <w:ilvl w:val="0"/>
          <w:numId w:val="10"/>
        </w:numPr>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956" w:name="_Toc15815"/>
      <w:bookmarkStart w:id="957" w:name="_Toc16058"/>
      <w:bookmarkStart w:id="958" w:name="_Toc3750"/>
      <w:bookmarkStart w:id="959" w:name="_Toc22187"/>
      <w:bookmarkStart w:id="960" w:name="_Toc13442"/>
      <w:bookmarkStart w:id="961" w:name="_Toc56970466"/>
      <w:bookmarkStart w:id="962" w:name="_Toc22965"/>
      <w:bookmarkStart w:id="963" w:name="_Toc3515"/>
      <w:bookmarkStart w:id="964" w:name="_Toc58779760"/>
      <w:bookmarkStart w:id="965" w:name="_Toc5900"/>
      <w:bookmarkStart w:id="966" w:name="_Toc14530"/>
      <w:bookmarkStart w:id="967" w:name="_Toc55722928"/>
      <w:bookmarkStart w:id="968" w:name="_Toc61117401"/>
      <w:bookmarkStart w:id="969" w:name="_Toc12727"/>
      <w:bookmarkStart w:id="970" w:name="_Toc12252"/>
      <w:bookmarkStart w:id="971" w:name="_Toc26639"/>
      <w:r>
        <w:rPr>
          <w:rFonts w:hint="eastAsia" w:ascii="楷体" w:hAnsi="楷体" w:eastAsia="楷体"/>
          <w:sz w:val="32"/>
          <w:szCs w:val="36"/>
          <w:lang w:val="en-US" w:eastAsia="zh-CN"/>
        </w:rPr>
        <w:t xml:space="preserve"> </w:t>
      </w:r>
      <w:r>
        <w:rPr>
          <w:rFonts w:hint="eastAsia" w:ascii="楷体" w:hAnsi="楷体" w:eastAsia="楷体"/>
          <w:sz w:val="32"/>
          <w:szCs w:val="36"/>
        </w:rPr>
        <w:t>坚持党的全面领导</w:t>
      </w:r>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pPr>
        <w:numPr>
          <w:ilvl w:val="0"/>
          <w:numId w:val="0"/>
        </w:numPr>
      </w:pPr>
    </w:p>
    <w:p>
      <w:pPr>
        <w:pageBreakBefore w:val="0"/>
        <w:kinsoku/>
        <w:wordWrap/>
        <w:overflowPunct/>
        <w:topLinePunct w:val="0"/>
        <w:autoSpaceDE/>
        <w:autoSpaceDN/>
        <w:bidi w:val="0"/>
        <w:spacing w:line="600" w:lineRule="exact"/>
        <w:ind w:firstLine="600"/>
        <w:textAlignment w:val="auto"/>
        <w:rPr>
          <w:rFonts w:ascii="仿宋_GB2312" w:cs="仿宋_GB2312"/>
          <w:szCs w:val="30"/>
        </w:rPr>
      </w:pPr>
      <w:r>
        <w:rPr>
          <w:rFonts w:hint="eastAsia" w:ascii="仿宋_GB2312" w:hAnsi="仿宋_GB2312" w:cs="仿宋_GB2312"/>
          <w:szCs w:val="30"/>
        </w:rPr>
        <w:t>充分发挥党总揽全局、协调各方的领导核心作用，以党的政治建设为统领，推动全市各级党组织和广大党员干部不断增强“四个意识”、坚定“四个自信”、做到“两个维护”，按照省委“三四八”工作机制，自觉在思想上政治上行动上同以习近平同志为核心的党中央保持高度一致，坚持不懈用习近平新时代中国特色社会主义思想武装头脑、教育人民、指导工作，确保习近平总书记重要讲话重要指示批示精神和党中央各项决策部署、省委工作要求在宁德高效落地。大力传承和弘扬“四下基层”“马上就办、真抓实干”等优良作风，坚持“干部晋升是赛出来”的用人导向，深化“五位一体”干部考核评价机制，建设一支敢打敢拼、能谋善断的高素质干部队伍，为谱写社会主义现代化国家的宁德篇章提供坚实保障。</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972" w:name="_Toc58779761"/>
      <w:bookmarkStart w:id="973" w:name="_Toc55722930"/>
      <w:bookmarkStart w:id="974" w:name="_Toc56970467"/>
      <w:bookmarkStart w:id="975" w:name="_Toc23870"/>
      <w:bookmarkStart w:id="976" w:name="_Toc27327"/>
      <w:bookmarkStart w:id="977" w:name="_Toc15665"/>
      <w:bookmarkStart w:id="978" w:name="_Toc3173"/>
      <w:bookmarkStart w:id="979" w:name="_Toc8255"/>
      <w:bookmarkStart w:id="980" w:name="_Toc10247"/>
      <w:bookmarkStart w:id="981" w:name="_Toc19756"/>
      <w:bookmarkStart w:id="982" w:name="_Toc10219"/>
      <w:bookmarkStart w:id="983" w:name="_Toc30099"/>
      <w:bookmarkStart w:id="984" w:name="_Toc21173"/>
      <w:bookmarkStart w:id="985" w:name="_Toc61117402"/>
      <w:bookmarkStart w:id="986" w:name="_Toc29691"/>
      <w:bookmarkStart w:id="987" w:name="_Toc26285"/>
    </w:p>
    <w:p>
      <w:pPr>
        <w:pStyle w:val="4"/>
        <w:pageBreakBefore w:val="0"/>
        <w:numPr>
          <w:ilvl w:val="0"/>
          <w:numId w:val="10"/>
        </w:numPr>
        <w:kinsoku/>
        <w:wordWrap/>
        <w:overflowPunct/>
        <w:topLinePunct w:val="0"/>
        <w:autoSpaceDE/>
        <w:autoSpaceDN/>
        <w:bidi w:val="0"/>
        <w:spacing w:beforeLines="0" w:afterLines="0" w:line="600" w:lineRule="exact"/>
        <w:ind w:left="0" w:leftChars="0" w:firstLine="0" w:firstLineChars="0"/>
        <w:textAlignment w:val="auto"/>
        <w:rPr>
          <w:rFonts w:hint="eastAsia" w:ascii="楷体" w:hAnsi="楷体" w:eastAsia="楷体"/>
          <w:sz w:val="32"/>
          <w:szCs w:val="36"/>
        </w:rPr>
      </w:pPr>
      <w:r>
        <w:rPr>
          <w:rFonts w:ascii="楷体" w:hAnsi="楷体" w:eastAsia="楷体"/>
          <w:sz w:val="32"/>
          <w:szCs w:val="36"/>
        </w:rPr>
        <w:t xml:space="preserve"> </w:t>
      </w:r>
      <w:bookmarkEnd w:id="972"/>
      <w:bookmarkEnd w:id="973"/>
      <w:bookmarkEnd w:id="974"/>
      <w:r>
        <w:rPr>
          <w:rFonts w:hint="eastAsia" w:ascii="楷体" w:hAnsi="楷体" w:eastAsia="楷体"/>
          <w:sz w:val="32"/>
          <w:szCs w:val="36"/>
        </w:rPr>
        <w:t>健全统一规划体系</w:t>
      </w:r>
      <w:bookmarkEnd w:id="975"/>
      <w:bookmarkEnd w:id="976"/>
      <w:bookmarkEnd w:id="977"/>
      <w:bookmarkEnd w:id="978"/>
      <w:bookmarkEnd w:id="979"/>
      <w:bookmarkEnd w:id="980"/>
      <w:bookmarkEnd w:id="981"/>
      <w:bookmarkEnd w:id="982"/>
      <w:bookmarkEnd w:id="983"/>
      <w:bookmarkEnd w:id="984"/>
      <w:bookmarkEnd w:id="985"/>
      <w:bookmarkEnd w:id="986"/>
      <w:bookmarkEnd w:id="987"/>
    </w:p>
    <w:p>
      <w:pPr>
        <w:numPr>
          <w:ilvl w:val="0"/>
          <w:numId w:val="0"/>
        </w:numPr>
        <w:ind w:leftChars="0"/>
      </w:pPr>
    </w:p>
    <w:p>
      <w:pPr>
        <w:pageBreakBefore w:val="0"/>
        <w:kinsoku/>
        <w:wordWrap/>
        <w:overflowPunct/>
        <w:topLinePunct w:val="0"/>
        <w:autoSpaceDE/>
        <w:autoSpaceDN/>
        <w:bidi w:val="0"/>
        <w:spacing w:line="600" w:lineRule="exact"/>
        <w:ind w:firstLine="602"/>
        <w:textAlignment w:val="auto"/>
        <w:rPr>
          <w:rFonts w:ascii="仿宋_GB2312" w:hAnsi="仿宋_GB2312" w:cs="仿宋_GB2312"/>
          <w:szCs w:val="30"/>
        </w:rPr>
      </w:pPr>
      <w:r>
        <w:rPr>
          <w:rFonts w:hint="eastAsia" w:ascii="仿宋_GB2312" w:hAnsi="仿宋_GB2312" w:cs="仿宋_GB2312"/>
          <w:b/>
          <w:bCs/>
          <w:szCs w:val="30"/>
        </w:rPr>
        <w:t>强化发展规划统领作用。</w:t>
      </w:r>
      <w:r>
        <w:rPr>
          <w:rFonts w:hint="eastAsia" w:ascii="仿宋_GB2312" w:hAnsi="仿宋_GB2312" w:cs="仿宋_GB2312"/>
          <w:szCs w:val="30"/>
        </w:rPr>
        <w:t>加快建立以发展规划为统领，以国土空间规划为基础，以专项规划、区域规划为支撑，市、县各级规划共同组成，定位准确、边界清晰、功能互补、统一衔接的市域规划体系。发挥发展规划统筹重大战略和重大举措时空安排功能，空间规划要细化落实发展规划提出的国土空间开发保护要求，区域规划要细化落实发展规划对特定区域提出的战略任务，专项规划要细化落实发展规划对特定领域提出的战略任务。</w:t>
      </w:r>
    </w:p>
    <w:p>
      <w:pPr>
        <w:pageBreakBefore w:val="0"/>
        <w:kinsoku/>
        <w:wordWrap/>
        <w:overflowPunct/>
        <w:topLinePunct w:val="0"/>
        <w:autoSpaceDE/>
        <w:autoSpaceDN/>
        <w:bidi w:val="0"/>
        <w:spacing w:line="600" w:lineRule="exact"/>
        <w:ind w:firstLine="602"/>
        <w:textAlignment w:val="auto"/>
        <w:rPr>
          <w:rFonts w:ascii="仿宋_GB2312" w:cs="仿宋_GB2312"/>
          <w:szCs w:val="30"/>
        </w:rPr>
      </w:pPr>
      <w:r>
        <w:rPr>
          <w:rFonts w:hint="eastAsia" w:ascii="仿宋_GB2312" w:hAnsi="仿宋_GB2312" w:cs="仿宋_GB2312"/>
          <w:b/>
          <w:bCs/>
          <w:szCs w:val="30"/>
        </w:rPr>
        <w:t>做好规划衔接管理。</w:t>
      </w:r>
      <w:r>
        <w:rPr>
          <w:rFonts w:hint="eastAsia" w:ascii="仿宋_GB2312" w:hAnsi="仿宋_GB2312" w:cs="仿宋_GB2312"/>
          <w:szCs w:val="30"/>
        </w:rPr>
        <w:t>建立健全空间规划、区域规划、专项规划与发展规划的衔接协调机制，确保各级各类规划协调一致。报请市委、市政府批准的规划，须事先与市发展规划在发展定位、主要目标、重点任务和规划指标等方面进行统筹对接，切实贯彻落实全市战略意图。</w:t>
      </w:r>
    </w:p>
    <w:p>
      <w:pPr>
        <w:pStyle w:val="4"/>
        <w:pageBreakBefore w:val="0"/>
        <w:kinsoku/>
        <w:wordWrap/>
        <w:overflowPunct/>
        <w:topLinePunct w:val="0"/>
        <w:autoSpaceDE/>
        <w:autoSpaceDN/>
        <w:bidi w:val="0"/>
        <w:spacing w:beforeLines="0" w:afterLines="0" w:line="600" w:lineRule="exact"/>
        <w:ind w:firstLine="0" w:firstLineChars="0"/>
        <w:textAlignment w:val="auto"/>
        <w:rPr>
          <w:rFonts w:hint="eastAsia" w:ascii="楷体" w:hAnsi="楷体" w:eastAsia="楷体"/>
          <w:sz w:val="32"/>
          <w:szCs w:val="36"/>
        </w:rPr>
      </w:pPr>
      <w:bookmarkStart w:id="988" w:name="_Toc56970468"/>
      <w:bookmarkStart w:id="989" w:name="_Toc55722931"/>
      <w:bookmarkStart w:id="990" w:name="_Toc58779762"/>
      <w:bookmarkStart w:id="991" w:name="_Toc26047"/>
      <w:bookmarkStart w:id="992" w:name="_Toc6966"/>
      <w:bookmarkStart w:id="993" w:name="_Toc5588"/>
      <w:bookmarkStart w:id="994" w:name="_Toc5042"/>
      <w:bookmarkStart w:id="995" w:name="_Toc17680"/>
      <w:bookmarkStart w:id="996" w:name="_Toc61117403"/>
      <w:bookmarkStart w:id="997" w:name="_Toc1569"/>
      <w:bookmarkStart w:id="998" w:name="_Toc32695"/>
      <w:bookmarkStart w:id="999" w:name="_Toc32032"/>
      <w:bookmarkStart w:id="1000" w:name="_Toc4117"/>
      <w:bookmarkStart w:id="1001" w:name="_Toc21668"/>
      <w:bookmarkStart w:id="1002" w:name="_Toc13456"/>
      <w:bookmarkStart w:id="1003" w:name="_Toc8501"/>
    </w:p>
    <w:p>
      <w:pPr>
        <w:pStyle w:val="4"/>
        <w:pageBreakBefore w:val="0"/>
        <w:numPr>
          <w:ilvl w:val="0"/>
          <w:numId w:val="10"/>
        </w:numPr>
        <w:kinsoku/>
        <w:wordWrap/>
        <w:overflowPunct/>
        <w:topLinePunct w:val="0"/>
        <w:autoSpaceDE/>
        <w:autoSpaceDN/>
        <w:bidi w:val="0"/>
        <w:spacing w:beforeLines="0" w:afterLines="0" w:line="600" w:lineRule="exact"/>
        <w:ind w:left="0" w:leftChars="0" w:firstLine="0" w:firstLineChars="0"/>
        <w:textAlignment w:val="auto"/>
        <w:rPr>
          <w:rFonts w:hint="eastAsia" w:ascii="楷体" w:hAnsi="楷体" w:eastAsia="楷体"/>
          <w:sz w:val="32"/>
          <w:szCs w:val="36"/>
        </w:rPr>
      </w:pPr>
      <w:r>
        <w:rPr>
          <w:rFonts w:ascii="楷体" w:hAnsi="楷体" w:eastAsia="楷体"/>
          <w:sz w:val="32"/>
          <w:szCs w:val="36"/>
        </w:rPr>
        <w:t xml:space="preserve"> </w:t>
      </w:r>
      <w:bookmarkEnd w:id="988"/>
      <w:bookmarkEnd w:id="989"/>
      <w:bookmarkEnd w:id="990"/>
      <w:r>
        <w:rPr>
          <w:rFonts w:hint="eastAsia" w:ascii="楷体" w:hAnsi="楷体" w:eastAsia="楷体"/>
          <w:sz w:val="32"/>
          <w:szCs w:val="36"/>
        </w:rPr>
        <w:t>完善规划实施机制</w:t>
      </w:r>
      <w:bookmarkEnd w:id="991"/>
      <w:bookmarkEnd w:id="992"/>
      <w:bookmarkEnd w:id="993"/>
      <w:bookmarkEnd w:id="994"/>
      <w:bookmarkEnd w:id="995"/>
      <w:bookmarkEnd w:id="996"/>
      <w:bookmarkEnd w:id="997"/>
      <w:bookmarkEnd w:id="998"/>
      <w:bookmarkEnd w:id="999"/>
      <w:bookmarkEnd w:id="1000"/>
      <w:bookmarkEnd w:id="1001"/>
      <w:bookmarkEnd w:id="1002"/>
      <w:bookmarkEnd w:id="1003"/>
    </w:p>
    <w:p>
      <w:pPr>
        <w:numPr>
          <w:ilvl w:val="0"/>
          <w:numId w:val="0"/>
        </w:numPr>
        <w:ind w:leftChars="0"/>
      </w:pPr>
    </w:p>
    <w:p>
      <w:pPr>
        <w:pageBreakBefore w:val="0"/>
        <w:kinsoku/>
        <w:wordWrap/>
        <w:overflowPunct/>
        <w:topLinePunct w:val="0"/>
        <w:autoSpaceDE/>
        <w:autoSpaceDN/>
        <w:bidi w:val="0"/>
        <w:spacing w:line="600" w:lineRule="exact"/>
        <w:ind w:firstLine="602"/>
        <w:textAlignment w:val="auto"/>
        <w:rPr>
          <w:rFonts w:ascii="仿宋_GB2312" w:hAnsi="仿宋_GB2312" w:cs="仿宋_GB2312"/>
          <w:b/>
          <w:bCs/>
          <w:szCs w:val="30"/>
        </w:rPr>
      </w:pPr>
      <w:r>
        <w:rPr>
          <w:rFonts w:hint="eastAsia" w:ascii="仿宋_GB2312" w:hAnsi="仿宋_GB2312" w:cs="仿宋_GB2312"/>
          <w:b/>
          <w:bCs/>
          <w:szCs w:val="30"/>
        </w:rPr>
        <w:t>强化组织实施。</w:t>
      </w:r>
      <w:r>
        <w:rPr>
          <w:rFonts w:hint="eastAsia" w:ascii="仿宋_GB2312" w:hAnsi="仿宋_GB2312" w:cs="仿宋_GB2312"/>
          <w:szCs w:val="30"/>
        </w:rPr>
        <w:t>加强规划实施的组织、协调和督导，明确规划主要目标任务的责任主体。强化年度计划与发展规划衔接，将发展规划确定的主要指标以及重大工程、重大项目、重大政策和重要改革任务逐年分解，纳入年度计划，明确各地、各部门的推进责任和服务责任，确保规划目标任务有计划、按步骤得到落实。</w:t>
      </w:r>
    </w:p>
    <w:p>
      <w:pPr>
        <w:pageBreakBefore w:val="0"/>
        <w:kinsoku/>
        <w:wordWrap/>
        <w:overflowPunct/>
        <w:topLinePunct w:val="0"/>
        <w:autoSpaceDE/>
        <w:autoSpaceDN/>
        <w:bidi w:val="0"/>
        <w:spacing w:line="600" w:lineRule="exact"/>
        <w:ind w:firstLine="602"/>
        <w:textAlignment w:val="auto"/>
        <w:rPr>
          <w:rFonts w:ascii="仿宋_GB2312" w:hAnsi="仿宋_GB2312" w:cs="仿宋_GB2312"/>
          <w:b/>
          <w:bCs/>
          <w:szCs w:val="30"/>
        </w:rPr>
      </w:pPr>
      <w:r>
        <w:rPr>
          <w:rFonts w:hint="eastAsia" w:ascii="仿宋_GB2312" w:hAnsi="仿宋_GB2312" w:cs="仿宋_GB2312"/>
          <w:b/>
          <w:bCs/>
          <w:szCs w:val="30"/>
        </w:rPr>
        <w:t>强化公众参与。</w:t>
      </w:r>
      <w:r>
        <w:rPr>
          <w:rFonts w:hint="eastAsia" w:ascii="仿宋_GB2312" w:hAnsi="仿宋_GB2312" w:cs="仿宋_GB2312"/>
          <w:szCs w:val="30"/>
        </w:rPr>
        <w:t>完善规划实施的公众参与、科学决策和民主监督机制，积极探索创新公众参与形式，拓宽公众参与渠道，主动接受社会监督。加大规划宣传力度，广泛凝聚共识，充分调动全社会积极性。</w:t>
      </w:r>
    </w:p>
    <w:p>
      <w:pPr>
        <w:pageBreakBefore w:val="0"/>
        <w:kinsoku/>
        <w:wordWrap/>
        <w:overflowPunct/>
        <w:topLinePunct w:val="0"/>
        <w:autoSpaceDE/>
        <w:autoSpaceDN/>
        <w:bidi w:val="0"/>
        <w:spacing w:line="600" w:lineRule="exact"/>
        <w:ind w:firstLine="602"/>
        <w:textAlignment w:val="auto"/>
        <w:rPr>
          <w:rFonts w:ascii="仿宋_GB2312" w:hAnsi="仿宋_GB2312" w:cs="仿宋_GB2312"/>
          <w:szCs w:val="30"/>
        </w:rPr>
      </w:pPr>
      <w:r>
        <w:rPr>
          <w:rFonts w:hint="eastAsia" w:ascii="仿宋_GB2312" w:hAnsi="仿宋_GB2312" w:cs="仿宋_GB2312"/>
          <w:b/>
          <w:bCs/>
          <w:szCs w:val="30"/>
        </w:rPr>
        <w:t>强化项目政策保障。</w:t>
      </w:r>
      <w:r>
        <w:rPr>
          <w:rFonts w:hint="eastAsia" w:ascii="仿宋_GB2312" w:hAnsi="仿宋_GB2312" w:cs="仿宋_GB2312"/>
          <w:szCs w:val="30"/>
        </w:rPr>
        <w:t>围绕推进湾区建设、产业发展、新型城镇化、新型基础设施、重大工程建设等重点领域</w:t>
      </w:r>
      <w:r>
        <w:rPr>
          <w:rFonts w:ascii="仿宋_GB2312" w:cs="仿宋_GB2312"/>
          <w:szCs w:val="30"/>
        </w:rPr>
        <w:t>,</w:t>
      </w:r>
      <w:r>
        <w:rPr>
          <w:rFonts w:hint="eastAsia" w:ascii="仿宋_GB2312" w:hAnsi="仿宋_GB2312" w:cs="仿宋_GB2312"/>
          <w:szCs w:val="30"/>
        </w:rPr>
        <w:t>组织实施一批打基础、利长远、蓄后劲、促全局的重大项目，动态管理项目储备库。</w:t>
      </w:r>
      <w:r>
        <w:rPr>
          <w:rFonts w:hint="eastAsia"/>
        </w:rPr>
        <w:t>落实保障好规划重大项目实施的用地、用海、用林、环境容量、资金等要素需求。</w:t>
      </w:r>
      <w:r>
        <w:rPr>
          <w:rFonts w:hint="eastAsia" w:ascii="仿宋_GB2312" w:hAnsi="仿宋_GB2312" w:cs="仿宋_GB2312"/>
          <w:szCs w:val="30"/>
        </w:rPr>
        <w:t>优化财政支出结构和政府投资结构，优先安排产业、民生和城乡一体化等领域的财政支出和项目投入。</w:t>
      </w:r>
    </w:p>
    <w:p>
      <w:pPr>
        <w:pageBreakBefore w:val="0"/>
        <w:kinsoku/>
        <w:wordWrap/>
        <w:overflowPunct/>
        <w:topLinePunct w:val="0"/>
        <w:autoSpaceDE/>
        <w:autoSpaceDN/>
        <w:bidi w:val="0"/>
        <w:spacing w:line="600" w:lineRule="exact"/>
        <w:ind w:firstLine="602"/>
        <w:textAlignment w:val="auto"/>
        <w:rPr>
          <w:rFonts w:ascii="仿宋_GB2312" w:hAnsi="仿宋_GB2312" w:cs="仿宋_GB2312"/>
          <w:szCs w:val="30"/>
        </w:rPr>
      </w:pPr>
      <w:r>
        <w:rPr>
          <w:rFonts w:hint="eastAsia" w:ascii="仿宋_GB2312" w:hAnsi="仿宋_GB2312" w:cs="仿宋_GB2312"/>
          <w:b/>
          <w:bCs/>
          <w:szCs w:val="30"/>
        </w:rPr>
        <w:t>强化监测评估。</w:t>
      </w:r>
      <w:r>
        <w:rPr>
          <w:rFonts w:hint="eastAsia" w:ascii="仿宋_GB2312" w:hAnsi="仿宋_GB2312" w:cs="仿宋_GB2312"/>
          <w:szCs w:val="30"/>
        </w:rPr>
        <w:t>全面加强监测评估能力建设，对总体规划和重点专项规划确定的目标任务完成情况开展年度监测分析、中期评估和总结评估。综合运用大数据、云计算等技术，全面真实反映规划实施情况，为科学评估提供支撑。强化规划权威性、严肃性，未经法定程序批准，不得随意调整规划。经评估确需对发展规划进行调整修订时，按程序提请市人大常委会审查批准。</w:t>
      </w:r>
    </w:p>
    <w:sectPr>
      <w:footerReference r:id="rId9" w:type="default"/>
      <w:pgSz w:w="11906" w:h="16838"/>
      <w:pgMar w:top="1701" w:right="1531" w:bottom="1587" w:left="1531" w:header="851" w:footer="850" w:gutter="0"/>
      <w:pgNumType w:fmt="decimal" w:start="1"/>
      <w:cols w:space="0" w:num="1"/>
      <w:rtlGutter w:val="0"/>
      <w:docGrid w:type="lines" w:linePitch="41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等线 Light">
    <w:altName w:val="宋体"/>
    <w:panose1 w:val="02010600030101010101"/>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FZFSK--GBK1-0">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2FF" w:usb1="400004FF" w:usb2="00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方正黑体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80F3C52" w:usb2="00000016" w:usb3="00000000" w:csb0="0004001F" w:csb1="00000000"/>
  </w:font>
  <w:font w:name="inherit">
    <w:altName w:val="Cambria"/>
    <w:panose1 w:val="00000000000000000000"/>
    <w:charset w:val="00"/>
    <w:family w:val="roman"/>
    <w:pitch w:val="default"/>
    <w:sig w:usb0="00000000" w:usb1="00000000" w:usb2="00000000" w:usb3="00000000" w:csb0="0000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600"/>
      <w:jc w:val="center"/>
    </w:pP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60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keepNext w:val="0"/>
                            <w:keepLines w:val="0"/>
                            <w:pageBreakBefore w:val="0"/>
                            <w:widowControl w:val="0"/>
                            <w:kinsoku/>
                            <w:wordWrap/>
                            <w:overflowPunct/>
                            <w:topLinePunct w:val="0"/>
                            <w:autoSpaceDE/>
                            <w:autoSpaceDN/>
                            <w:bidi w:val="0"/>
                            <w:adjustRightInd/>
                            <w:snapToGrid w:val="0"/>
                            <w:ind w:firstLine="0"/>
                            <w:jc w:val="center"/>
                            <w:textAlignment w:val="auto"/>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III</w:t>
                          </w:r>
                          <w:r>
                            <w:rPr>
                              <w:sz w:val="24"/>
                              <w:szCs w:val="24"/>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4"/>
                      <w:keepNext w:val="0"/>
                      <w:keepLines w:val="0"/>
                      <w:pageBreakBefore w:val="0"/>
                      <w:widowControl w:val="0"/>
                      <w:kinsoku/>
                      <w:wordWrap/>
                      <w:overflowPunct/>
                      <w:topLinePunct w:val="0"/>
                      <w:autoSpaceDE/>
                      <w:autoSpaceDN/>
                      <w:bidi w:val="0"/>
                      <w:adjustRightInd/>
                      <w:snapToGrid w:val="0"/>
                      <w:ind w:firstLine="0"/>
                      <w:jc w:val="center"/>
                      <w:textAlignment w:val="auto"/>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III</w:t>
                    </w:r>
                    <w:r>
                      <w:rPr>
                        <w:sz w:val="24"/>
                        <w:szCs w:val="24"/>
                        <w:lang w:val="zh-CN"/>
                      </w:rPr>
                      <w:fldChar w:fldCharType="end"/>
                    </w:r>
                  </w:p>
                </w:txbxContent>
              </v:textbox>
            </v:shape>
          </w:pict>
        </mc:Fallback>
      </mc:AlternateContent>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600"/>
      <w:jc w:val="center"/>
      <w:rPr>
        <w:rFonts w:ascii="仿宋_GB2312" w:eastAsia="仿宋_GB2312"/>
        <w:sz w:val="21"/>
        <w:szCs w:val="21"/>
      </w:rPr>
    </w:pP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600"/>
      <w:jc w:val="center"/>
      <w:rPr>
        <w:rFonts w:ascii="仿宋_GB2312" w:eastAsia="仿宋_GB2312"/>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keepNext w:val="0"/>
                            <w:keepLines w:val="0"/>
                            <w:pageBreakBefore w:val="0"/>
                            <w:widowControl w:val="0"/>
                            <w:kinsoku/>
                            <w:wordWrap/>
                            <w:overflowPunct/>
                            <w:topLinePunct w:val="0"/>
                            <w:autoSpaceDE/>
                            <w:autoSpaceDN/>
                            <w:bidi w:val="0"/>
                            <w:adjustRightInd/>
                            <w:snapToGrid w:val="0"/>
                            <w:ind w:firstLine="0"/>
                            <w:jc w:val="center"/>
                            <w:textAlignment w:val="auto"/>
                            <w:rPr>
                              <w:sz w:val="24"/>
                              <w:szCs w:val="24"/>
                            </w:rPr>
                          </w:pP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PAGE   \* MERGEFORMAT</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lang w:val="zh-CN"/>
                            </w:rPr>
                            <w:t>130</w:t>
                          </w:r>
                          <w:r>
                            <w:rPr>
                              <w:rFonts w:hint="default" w:ascii="Times New Roman" w:hAnsi="Times New Roman" w:eastAsia="仿宋_GB2312"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keepNext w:val="0"/>
                      <w:keepLines w:val="0"/>
                      <w:pageBreakBefore w:val="0"/>
                      <w:widowControl w:val="0"/>
                      <w:kinsoku/>
                      <w:wordWrap/>
                      <w:overflowPunct/>
                      <w:topLinePunct w:val="0"/>
                      <w:autoSpaceDE/>
                      <w:autoSpaceDN/>
                      <w:bidi w:val="0"/>
                      <w:adjustRightInd/>
                      <w:snapToGrid w:val="0"/>
                      <w:ind w:firstLine="0"/>
                      <w:jc w:val="center"/>
                      <w:textAlignment w:val="auto"/>
                      <w:rPr>
                        <w:sz w:val="24"/>
                        <w:szCs w:val="24"/>
                      </w:rPr>
                    </w:pPr>
                    <w:r>
                      <w:rPr>
                        <w:rFonts w:hint="default" w:ascii="Times New Roman" w:hAnsi="Times New Roman" w:eastAsia="仿宋_GB2312" w:cs="Times New Roman"/>
                        <w:sz w:val="24"/>
                        <w:szCs w:val="24"/>
                      </w:rPr>
                      <w:fldChar w:fldCharType="begin"/>
                    </w:r>
                    <w:r>
                      <w:rPr>
                        <w:rFonts w:hint="default" w:ascii="Times New Roman" w:hAnsi="Times New Roman" w:eastAsia="仿宋_GB2312" w:cs="Times New Roman"/>
                        <w:sz w:val="24"/>
                        <w:szCs w:val="24"/>
                      </w:rPr>
                      <w:instrText xml:space="preserve">PAGE   \* MERGEFORMAT</w:instrText>
                    </w:r>
                    <w:r>
                      <w:rPr>
                        <w:rFonts w:hint="default" w:ascii="Times New Roman" w:hAnsi="Times New Roman" w:eastAsia="仿宋_GB2312" w:cs="Times New Roman"/>
                        <w:sz w:val="24"/>
                        <w:szCs w:val="24"/>
                      </w:rPr>
                      <w:fldChar w:fldCharType="separate"/>
                    </w:r>
                    <w:r>
                      <w:rPr>
                        <w:rFonts w:hint="default" w:ascii="Times New Roman" w:hAnsi="Times New Roman" w:eastAsia="仿宋_GB2312" w:cs="Times New Roman"/>
                        <w:sz w:val="24"/>
                        <w:szCs w:val="24"/>
                        <w:lang w:val="zh-CN"/>
                      </w:rPr>
                      <w:t>130</w:t>
                    </w:r>
                    <w:r>
                      <w:rPr>
                        <w:rFonts w:hint="default" w:ascii="Times New Roman" w:hAnsi="Times New Roman" w:eastAsia="仿宋_GB2312" w:cs="Times New Roman"/>
                        <w:sz w:val="24"/>
                        <w:szCs w:val="24"/>
                      </w:rPr>
                      <w:fldChar w:fldCharType="end"/>
                    </w:r>
                  </w:p>
                </w:txbxContent>
              </v:textbox>
            </v:shape>
          </w:pict>
        </mc:Fallback>
      </mc:AlternateContent>
    </w:r>
  </w:p>
  <w:p>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top w:val="none" w:color="auto" w:sz="0" w:space="0"/>
        <w:left w:val="none" w:color="auto" w:sz="0" w:space="0"/>
        <w:bottom w:val="none" w:color="auto" w:sz="0" w:space="1"/>
        <w:right w:val="none" w:color="auto" w:sz="0" w:space="0"/>
        <w:between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018910"/>
    <w:multiLevelType w:val="singleLevel"/>
    <w:tmpl w:val="91018910"/>
    <w:lvl w:ilvl="0" w:tentative="0">
      <w:start w:val="12"/>
      <w:numFmt w:val="chineseCounting"/>
      <w:suff w:val="space"/>
      <w:lvlText w:val="第%1章"/>
      <w:lvlJc w:val="left"/>
      <w:rPr>
        <w:rFonts w:hint="eastAsia"/>
      </w:rPr>
    </w:lvl>
  </w:abstractNum>
  <w:abstractNum w:abstractNumId="1">
    <w:nsid w:val="92C6E885"/>
    <w:multiLevelType w:val="singleLevel"/>
    <w:tmpl w:val="92C6E885"/>
    <w:lvl w:ilvl="0" w:tentative="0">
      <w:start w:val="1"/>
      <w:numFmt w:val="chineseCounting"/>
      <w:suff w:val="space"/>
      <w:lvlText w:val="第%1节"/>
      <w:lvlJc w:val="left"/>
      <w:rPr>
        <w:rFonts w:hint="eastAsia"/>
      </w:rPr>
    </w:lvl>
  </w:abstractNum>
  <w:abstractNum w:abstractNumId="2">
    <w:nsid w:val="B1C8A3F0"/>
    <w:multiLevelType w:val="singleLevel"/>
    <w:tmpl w:val="B1C8A3F0"/>
    <w:lvl w:ilvl="0" w:tentative="0">
      <w:start w:val="6"/>
      <w:numFmt w:val="chineseCounting"/>
      <w:suff w:val="space"/>
      <w:lvlText w:val="第%1节"/>
      <w:lvlJc w:val="left"/>
      <w:rPr>
        <w:rFonts w:hint="eastAsia"/>
      </w:rPr>
    </w:lvl>
  </w:abstractNum>
  <w:abstractNum w:abstractNumId="3">
    <w:nsid w:val="D89FE256"/>
    <w:multiLevelType w:val="singleLevel"/>
    <w:tmpl w:val="D89FE256"/>
    <w:lvl w:ilvl="0" w:tentative="0">
      <w:start w:val="2"/>
      <w:numFmt w:val="chineseCounting"/>
      <w:suff w:val="space"/>
      <w:lvlText w:val="第%1节"/>
      <w:lvlJc w:val="left"/>
      <w:rPr>
        <w:rFonts w:hint="eastAsia"/>
      </w:rPr>
    </w:lvl>
  </w:abstractNum>
  <w:abstractNum w:abstractNumId="4">
    <w:nsid w:val="E5F46E95"/>
    <w:multiLevelType w:val="singleLevel"/>
    <w:tmpl w:val="E5F46E95"/>
    <w:lvl w:ilvl="0" w:tentative="0">
      <w:start w:val="3"/>
      <w:numFmt w:val="chineseCounting"/>
      <w:suff w:val="space"/>
      <w:lvlText w:val="第%1章"/>
      <w:lvlJc w:val="left"/>
      <w:rPr>
        <w:rFonts w:hint="eastAsia"/>
      </w:rPr>
    </w:lvl>
  </w:abstractNum>
  <w:abstractNum w:abstractNumId="5">
    <w:nsid w:val="FBB848BA"/>
    <w:multiLevelType w:val="singleLevel"/>
    <w:tmpl w:val="FBB848BA"/>
    <w:lvl w:ilvl="0" w:tentative="0">
      <w:start w:val="4"/>
      <w:numFmt w:val="chineseCounting"/>
      <w:suff w:val="space"/>
      <w:lvlText w:val="第%1节"/>
      <w:lvlJc w:val="left"/>
      <w:rPr>
        <w:rFonts w:hint="eastAsia"/>
      </w:rPr>
    </w:lvl>
  </w:abstractNum>
  <w:abstractNum w:abstractNumId="6">
    <w:nsid w:val="4254ECE8"/>
    <w:multiLevelType w:val="singleLevel"/>
    <w:tmpl w:val="4254ECE8"/>
    <w:lvl w:ilvl="0" w:tentative="0">
      <w:start w:val="2"/>
      <w:numFmt w:val="chineseCounting"/>
      <w:suff w:val="space"/>
      <w:lvlText w:val="第%1节"/>
      <w:lvlJc w:val="left"/>
      <w:rPr>
        <w:rFonts w:hint="eastAsia"/>
      </w:rPr>
    </w:lvl>
  </w:abstractNum>
  <w:abstractNum w:abstractNumId="7">
    <w:nsid w:val="554DE6E9"/>
    <w:multiLevelType w:val="singleLevel"/>
    <w:tmpl w:val="554DE6E9"/>
    <w:lvl w:ilvl="0" w:tentative="0">
      <w:start w:val="2"/>
      <w:numFmt w:val="chineseCounting"/>
      <w:suff w:val="space"/>
      <w:lvlText w:val="第%1节"/>
      <w:lvlJc w:val="left"/>
      <w:rPr>
        <w:rFonts w:hint="eastAsia"/>
      </w:rPr>
    </w:lvl>
  </w:abstractNum>
  <w:abstractNum w:abstractNumId="8">
    <w:nsid w:val="6AA0D8CF"/>
    <w:multiLevelType w:val="singleLevel"/>
    <w:tmpl w:val="6AA0D8CF"/>
    <w:lvl w:ilvl="0" w:tentative="0">
      <w:start w:val="3"/>
      <w:numFmt w:val="chineseCounting"/>
      <w:suff w:val="space"/>
      <w:lvlText w:val="第%1节"/>
      <w:lvlJc w:val="left"/>
      <w:rPr>
        <w:rFonts w:hint="eastAsia"/>
      </w:rPr>
    </w:lvl>
  </w:abstractNum>
  <w:abstractNum w:abstractNumId="9">
    <w:nsid w:val="6E4CCD13"/>
    <w:multiLevelType w:val="singleLevel"/>
    <w:tmpl w:val="6E4CCD13"/>
    <w:lvl w:ilvl="0" w:tentative="0">
      <w:start w:val="1"/>
      <w:numFmt w:val="chineseCounting"/>
      <w:suff w:val="space"/>
      <w:lvlText w:val="第%1节"/>
      <w:lvlJc w:val="left"/>
      <w:rPr>
        <w:rFonts w:hint="eastAsia"/>
      </w:rPr>
    </w:lvl>
  </w:abstractNum>
  <w:num w:numId="1">
    <w:abstractNumId w:val="2"/>
  </w:num>
  <w:num w:numId="2">
    <w:abstractNumId w:val="7"/>
  </w:num>
  <w:num w:numId="3">
    <w:abstractNumId w:val="4"/>
  </w:num>
  <w:num w:numId="4">
    <w:abstractNumId w:val="5"/>
  </w:num>
  <w:num w:numId="5">
    <w:abstractNumId w:val="3"/>
  </w:num>
  <w:num w:numId="6">
    <w:abstractNumId w:val="8"/>
  </w:num>
  <w:num w:numId="7">
    <w:abstractNumId w:val="6"/>
  </w:num>
  <w:num w:numId="8">
    <w:abstractNumId w:val="0"/>
  </w:num>
  <w:num w:numId="9">
    <w:abstractNumId w:val="1"/>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205"/>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mM5MjEzMzdkYmNkM2Q4NmY2YTNhMDU1ZGNiOWFiMzAifQ=="/>
    <w:docVar w:name="KSO_WPS_MARK_KEY" w:val="7a0065ad-a5b8-4c01-b1ed-07c959dc643b"/>
  </w:docVars>
  <w:rsids>
    <w:rsidRoot w:val="003927F9"/>
    <w:rsid w:val="00000046"/>
    <w:rsid w:val="000021AE"/>
    <w:rsid w:val="00002598"/>
    <w:rsid w:val="00003C4A"/>
    <w:rsid w:val="00005719"/>
    <w:rsid w:val="00013BE3"/>
    <w:rsid w:val="000144F3"/>
    <w:rsid w:val="0001517E"/>
    <w:rsid w:val="00015334"/>
    <w:rsid w:val="00015588"/>
    <w:rsid w:val="00015E2D"/>
    <w:rsid w:val="00016140"/>
    <w:rsid w:val="000168D3"/>
    <w:rsid w:val="00021886"/>
    <w:rsid w:val="0002357E"/>
    <w:rsid w:val="00024BDE"/>
    <w:rsid w:val="00025E5D"/>
    <w:rsid w:val="00027030"/>
    <w:rsid w:val="00027481"/>
    <w:rsid w:val="00030A95"/>
    <w:rsid w:val="00032E58"/>
    <w:rsid w:val="0003654C"/>
    <w:rsid w:val="00036562"/>
    <w:rsid w:val="0004268C"/>
    <w:rsid w:val="00043A5A"/>
    <w:rsid w:val="000456B6"/>
    <w:rsid w:val="0004645D"/>
    <w:rsid w:val="00046BD5"/>
    <w:rsid w:val="00046C5B"/>
    <w:rsid w:val="00047ACC"/>
    <w:rsid w:val="0005046F"/>
    <w:rsid w:val="00050C20"/>
    <w:rsid w:val="00051D3A"/>
    <w:rsid w:val="00052323"/>
    <w:rsid w:val="0005357D"/>
    <w:rsid w:val="0005464B"/>
    <w:rsid w:val="00055A69"/>
    <w:rsid w:val="00055FE2"/>
    <w:rsid w:val="000564D9"/>
    <w:rsid w:val="000565A6"/>
    <w:rsid w:val="00056A9C"/>
    <w:rsid w:val="00060B17"/>
    <w:rsid w:val="00061933"/>
    <w:rsid w:val="00061AF0"/>
    <w:rsid w:val="00061B77"/>
    <w:rsid w:val="00062444"/>
    <w:rsid w:val="000628BD"/>
    <w:rsid w:val="000641A5"/>
    <w:rsid w:val="000663F3"/>
    <w:rsid w:val="00066A23"/>
    <w:rsid w:val="00070707"/>
    <w:rsid w:val="00072F78"/>
    <w:rsid w:val="000730D8"/>
    <w:rsid w:val="000735C7"/>
    <w:rsid w:val="00074FE5"/>
    <w:rsid w:val="00075447"/>
    <w:rsid w:val="0007562A"/>
    <w:rsid w:val="00075904"/>
    <w:rsid w:val="00083A51"/>
    <w:rsid w:val="00083E18"/>
    <w:rsid w:val="000844F8"/>
    <w:rsid w:val="0008468E"/>
    <w:rsid w:val="00085235"/>
    <w:rsid w:val="00085390"/>
    <w:rsid w:val="000858BB"/>
    <w:rsid w:val="000902F5"/>
    <w:rsid w:val="00090436"/>
    <w:rsid w:val="000915BE"/>
    <w:rsid w:val="00092B0B"/>
    <w:rsid w:val="00093E69"/>
    <w:rsid w:val="0009413F"/>
    <w:rsid w:val="0009424A"/>
    <w:rsid w:val="00094735"/>
    <w:rsid w:val="00095814"/>
    <w:rsid w:val="00097440"/>
    <w:rsid w:val="000A02BA"/>
    <w:rsid w:val="000A1B5A"/>
    <w:rsid w:val="000A1D47"/>
    <w:rsid w:val="000A3240"/>
    <w:rsid w:val="000A56B9"/>
    <w:rsid w:val="000A62F6"/>
    <w:rsid w:val="000B0A8D"/>
    <w:rsid w:val="000B1CCE"/>
    <w:rsid w:val="000B3B27"/>
    <w:rsid w:val="000B63B5"/>
    <w:rsid w:val="000B794A"/>
    <w:rsid w:val="000C0A14"/>
    <w:rsid w:val="000C4A3F"/>
    <w:rsid w:val="000C4D1F"/>
    <w:rsid w:val="000C5F42"/>
    <w:rsid w:val="000C62BD"/>
    <w:rsid w:val="000D3DA3"/>
    <w:rsid w:val="000D4D93"/>
    <w:rsid w:val="000E03DB"/>
    <w:rsid w:val="000E0BDF"/>
    <w:rsid w:val="000E10DC"/>
    <w:rsid w:val="000E2144"/>
    <w:rsid w:val="000E5979"/>
    <w:rsid w:val="000F0FE9"/>
    <w:rsid w:val="000F1B94"/>
    <w:rsid w:val="000F24B3"/>
    <w:rsid w:val="000F36AD"/>
    <w:rsid w:val="000F4090"/>
    <w:rsid w:val="000F4F23"/>
    <w:rsid w:val="000F52F1"/>
    <w:rsid w:val="000F67A9"/>
    <w:rsid w:val="000F772B"/>
    <w:rsid w:val="00100595"/>
    <w:rsid w:val="0010078F"/>
    <w:rsid w:val="00101D3D"/>
    <w:rsid w:val="001020AC"/>
    <w:rsid w:val="00104C79"/>
    <w:rsid w:val="00105D71"/>
    <w:rsid w:val="001071D8"/>
    <w:rsid w:val="00110B84"/>
    <w:rsid w:val="001110C4"/>
    <w:rsid w:val="00111234"/>
    <w:rsid w:val="001112F3"/>
    <w:rsid w:val="00114C29"/>
    <w:rsid w:val="00115502"/>
    <w:rsid w:val="00115879"/>
    <w:rsid w:val="00116086"/>
    <w:rsid w:val="001200B6"/>
    <w:rsid w:val="00120DC8"/>
    <w:rsid w:val="00120ECB"/>
    <w:rsid w:val="00121417"/>
    <w:rsid w:val="00121E50"/>
    <w:rsid w:val="00122D2A"/>
    <w:rsid w:val="00122FDE"/>
    <w:rsid w:val="00126981"/>
    <w:rsid w:val="00126F06"/>
    <w:rsid w:val="00127490"/>
    <w:rsid w:val="001301E8"/>
    <w:rsid w:val="001307E2"/>
    <w:rsid w:val="00134016"/>
    <w:rsid w:val="00134A79"/>
    <w:rsid w:val="00134CC9"/>
    <w:rsid w:val="00136C73"/>
    <w:rsid w:val="00136EF8"/>
    <w:rsid w:val="00137E2D"/>
    <w:rsid w:val="00140201"/>
    <w:rsid w:val="00141134"/>
    <w:rsid w:val="001455E6"/>
    <w:rsid w:val="001470EC"/>
    <w:rsid w:val="001518F0"/>
    <w:rsid w:val="00152633"/>
    <w:rsid w:val="00152753"/>
    <w:rsid w:val="00153EE1"/>
    <w:rsid w:val="0015444E"/>
    <w:rsid w:val="0015620A"/>
    <w:rsid w:val="00156E44"/>
    <w:rsid w:val="001603FB"/>
    <w:rsid w:val="001624BE"/>
    <w:rsid w:val="00166744"/>
    <w:rsid w:val="00170C0E"/>
    <w:rsid w:val="0017189A"/>
    <w:rsid w:val="001719E5"/>
    <w:rsid w:val="00171C17"/>
    <w:rsid w:val="00172AC7"/>
    <w:rsid w:val="00172C53"/>
    <w:rsid w:val="001730B9"/>
    <w:rsid w:val="00180F1D"/>
    <w:rsid w:val="001825A1"/>
    <w:rsid w:val="00187276"/>
    <w:rsid w:val="00190045"/>
    <w:rsid w:val="00191C00"/>
    <w:rsid w:val="00191FAC"/>
    <w:rsid w:val="0019240D"/>
    <w:rsid w:val="00192499"/>
    <w:rsid w:val="00192993"/>
    <w:rsid w:val="001931C4"/>
    <w:rsid w:val="00193216"/>
    <w:rsid w:val="00194E3B"/>
    <w:rsid w:val="001974F4"/>
    <w:rsid w:val="001A0398"/>
    <w:rsid w:val="001A0C2A"/>
    <w:rsid w:val="001A6953"/>
    <w:rsid w:val="001A6D9B"/>
    <w:rsid w:val="001B119A"/>
    <w:rsid w:val="001B2E03"/>
    <w:rsid w:val="001B31E6"/>
    <w:rsid w:val="001B43B9"/>
    <w:rsid w:val="001B4664"/>
    <w:rsid w:val="001B4B37"/>
    <w:rsid w:val="001B5E4E"/>
    <w:rsid w:val="001B6F64"/>
    <w:rsid w:val="001C071B"/>
    <w:rsid w:val="001C5ECC"/>
    <w:rsid w:val="001C67B6"/>
    <w:rsid w:val="001C74BB"/>
    <w:rsid w:val="001D1AC8"/>
    <w:rsid w:val="001D1F97"/>
    <w:rsid w:val="001D1FE1"/>
    <w:rsid w:val="001D29D7"/>
    <w:rsid w:val="001D310D"/>
    <w:rsid w:val="001D3920"/>
    <w:rsid w:val="001D47A3"/>
    <w:rsid w:val="001D572D"/>
    <w:rsid w:val="001D6785"/>
    <w:rsid w:val="001E0D50"/>
    <w:rsid w:val="001E19F9"/>
    <w:rsid w:val="001E3F20"/>
    <w:rsid w:val="001E3FC2"/>
    <w:rsid w:val="001E4E0F"/>
    <w:rsid w:val="001E54F3"/>
    <w:rsid w:val="001E56CE"/>
    <w:rsid w:val="001E5D78"/>
    <w:rsid w:val="001E7566"/>
    <w:rsid w:val="001F03D3"/>
    <w:rsid w:val="001F0FDA"/>
    <w:rsid w:val="001F391A"/>
    <w:rsid w:val="001F3941"/>
    <w:rsid w:val="001F3BA6"/>
    <w:rsid w:val="001F4E35"/>
    <w:rsid w:val="001F7FA6"/>
    <w:rsid w:val="00200A1C"/>
    <w:rsid w:val="002015C6"/>
    <w:rsid w:val="00201A77"/>
    <w:rsid w:val="00201A86"/>
    <w:rsid w:val="00202738"/>
    <w:rsid w:val="0020478A"/>
    <w:rsid w:val="00205912"/>
    <w:rsid w:val="00205D34"/>
    <w:rsid w:val="0020698E"/>
    <w:rsid w:val="00207A75"/>
    <w:rsid w:val="002118A9"/>
    <w:rsid w:val="00213CDB"/>
    <w:rsid w:val="00217691"/>
    <w:rsid w:val="00217C6E"/>
    <w:rsid w:val="00220BEA"/>
    <w:rsid w:val="00221427"/>
    <w:rsid w:val="00221C83"/>
    <w:rsid w:val="002220B0"/>
    <w:rsid w:val="00222D23"/>
    <w:rsid w:val="00222DCB"/>
    <w:rsid w:val="002304A1"/>
    <w:rsid w:val="00230FEE"/>
    <w:rsid w:val="00232979"/>
    <w:rsid w:val="00234757"/>
    <w:rsid w:val="002350D1"/>
    <w:rsid w:val="00235DE8"/>
    <w:rsid w:val="00241402"/>
    <w:rsid w:val="00241E56"/>
    <w:rsid w:val="00242B79"/>
    <w:rsid w:val="00243F39"/>
    <w:rsid w:val="00245BF4"/>
    <w:rsid w:val="0025389E"/>
    <w:rsid w:val="00254793"/>
    <w:rsid w:val="00255D3C"/>
    <w:rsid w:val="0025614B"/>
    <w:rsid w:val="00256525"/>
    <w:rsid w:val="00261A0B"/>
    <w:rsid w:val="0026328F"/>
    <w:rsid w:val="002653EC"/>
    <w:rsid w:val="00266934"/>
    <w:rsid w:val="00270838"/>
    <w:rsid w:val="0027334A"/>
    <w:rsid w:val="0027350E"/>
    <w:rsid w:val="002738D0"/>
    <w:rsid w:val="00274C34"/>
    <w:rsid w:val="00275278"/>
    <w:rsid w:val="00276925"/>
    <w:rsid w:val="00277010"/>
    <w:rsid w:val="002774FB"/>
    <w:rsid w:val="00281B9D"/>
    <w:rsid w:val="002822BE"/>
    <w:rsid w:val="00283CE1"/>
    <w:rsid w:val="0028527C"/>
    <w:rsid w:val="002857C3"/>
    <w:rsid w:val="00286D7D"/>
    <w:rsid w:val="00287DB5"/>
    <w:rsid w:val="00287E27"/>
    <w:rsid w:val="00290E9E"/>
    <w:rsid w:val="002921B5"/>
    <w:rsid w:val="00293348"/>
    <w:rsid w:val="002934F5"/>
    <w:rsid w:val="00293572"/>
    <w:rsid w:val="00293DDF"/>
    <w:rsid w:val="00293FC5"/>
    <w:rsid w:val="0029498A"/>
    <w:rsid w:val="00295C5E"/>
    <w:rsid w:val="00295CD9"/>
    <w:rsid w:val="00295FB0"/>
    <w:rsid w:val="0029636C"/>
    <w:rsid w:val="0029691D"/>
    <w:rsid w:val="00296DC1"/>
    <w:rsid w:val="00296FC6"/>
    <w:rsid w:val="00297A2A"/>
    <w:rsid w:val="002A1B9D"/>
    <w:rsid w:val="002A2038"/>
    <w:rsid w:val="002A2498"/>
    <w:rsid w:val="002A2969"/>
    <w:rsid w:val="002A30A0"/>
    <w:rsid w:val="002A4600"/>
    <w:rsid w:val="002A4B34"/>
    <w:rsid w:val="002A5D42"/>
    <w:rsid w:val="002A6263"/>
    <w:rsid w:val="002A6A22"/>
    <w:rsid w:val="002A6F80"/>
    <w:rsid w:val="002B0013"/>
    <w:rsid w:val="002B0835"/>
    <w:rsid w:val="002B14FC"/>
    <w:rsid w:val="002B1698"/>
    <w:rsid w:val="002B178E"/>
    <w:rsid w:val="002B184F"/>
    <w:rsid w:val="002B31DF"/>
    <w:rsid w:val="002B4D34"/>
    <w:rsid w:val="002B5303"/>
    <w:rsid w:val="002B5984"/>
    <w:rsid w:val="002B62E2"/>
    <w:rsid w:val="002B70E7"/>
    <w:rsid w:val="002C1A2E"/>
    <w:rsid w:val="002C1FBA"/>
    <w:rsid w:val="002C3FFA"/>
    <w:rsid w:val="002C4502"/>
    <w:rsid w:val="002C6CA0"/>
    <w:rsid w:val="002C6FB9"/>
    <w:rsid w:val="002D1E14"/>
    <w:rsid w:val="002D32D5"/>
    <w:rsid w:val="002D4916"/>
    <w:rsid w:val="002D4A50"/>
    <w:rsid w:val="002D6073"/>
    <w:rsid w:val="002D6ECB"/>
    <w:rsid w:val="002E00CA"/>
    <w:rsid w:val="002E1203"/>
    <w:rsid w:val="002E37D7"/>
    <w:rsid w:val="002E393C"/>
    <w:rsid w:val="002E5811"/>
    <w:rsid w:val="002E68DF"/>
    <w:rsid w:val="002F42D9"/>
    <w:rsid w:val="002F6458"/>
    <w:rsid w:val="002F6D40"/>
    <w:rsid w:val="0030745D"/>
    <w:rsid w:val="00310820"/>
    <w:rsid w:val="003114B0"/>
    <w:rsid w:val="003116DD"/>
    <w:rsid w:val="0031419B"/>
    <w:rsid w:val="00314D62"/>
    <w:rsid w:val="003152D6"/>
    <w:rsid w:val="003156FF"/>
    <w:rsid w:val="003174EA"/>
    <w:rsid w:val="00317AF1"/>
    <w:rsid w:val="00317D9A"/>
    <w:rsid w:val="003201A5"/>
    <w:rsid w:val="003204B5"/>
    <w:rsid w:val="00322694"/>
    <w:rsid w:val="00323663"/>
    <w:rsid w:val="00325670"/>
    <w:rsid w:val="0032601E"/>
    <w:rsid w:val="00326582"/>
    <w:rsid w:val="003279C9"/>
    <w:rsid w:val="0033026B"/>
    <w:rsid w:val="00330750"/>
    <w:rsid w:val="00333BEE"/>
    <w:rsid w:val="00334853"/>
    <w:rsid w:val="00335041"/>
    <w:rsid w:val="00335BF8"/>
    <w:rsid w:val="003364C6"/>
    <w:rsid w:val="00343427"/>
    <w:rsid w:val="00343B43"/>
    <w:rsid w:val="00343F14"/>
    <w:rsid w:val="00347B7B"/>
    <w:rsid w:val="00350446"/>
    <w:rsid w:val="00350AF3"/>
    <w:rsid w:val="0035158A"/>
    <w:rsid w:val="00352630"/>
    <w:rsid w:val="00352A73"/>
    <w:rsid w:val="0035479B"/>
    <w:rsid w:val="0035574E"/>
    <w:rsid w:val="00356509"/>
    <w:rsid w:val="00356BAE"/>
    <w:rsid w:val="00357524"/>
    <w:rsid w:val="00360F12"/>
    <w:rsid w:val="003651D2"/>
    <w:rsid w:val="003661CC"/>
    <w:rsid w:val="0036743C"/>
    <w:rsid w:val="00367738"/>
    <w:rsid w:val="00370165"/>
    <w:rsid w:val="00370AB1"/>
    <w:rsid w:val="00371764"/>
    <w:rsid w:val="00371CCF"/>
    <w:rsid w:val="003721B0"/>
    <w:rsid w:val="0037378C"/>
    <w:rsid w:val="00373797"/>
    <w:rsid w:val="00373E5E"/>
    <w:rsid w:val="00374726"/>
    <w:rsid w:val="0037591E"/>
    <w:rsid w:val="0037658E"/>
    <w:rsid w:val="00380DD6"/>
    <w:rsid w:val="00381088"/>
    <w:rsid w:val="003846CD"/>
    <w:rsid w:val="00384AB6"/>
    <w:rsid w:val="00384F57"/>
    <w:rsid w:val="00386D50"/>
    <w:rsid w:val="003927F9"/>
    <w:rsid w:val="00394580"/>
    <w:rsid w:val="003957E3"/>
    <w:rsid w:val="003A1505"/>
    <w:rsid w:val="003A41A4"/>
    <w:rsid w:val="003A479D"/>
    <w:rsid w:val="003A4872"/>
    <w:rsid w:val="003A6034"/>
    <w:rsid w:val="003B1607"/>
    <w:rsid w:val="003B3F0B"/>
    <w:rsid w:val="003B48F0"/>
    <w:rsid w:val="003B63D2"/>
    <w:rsid w:val="003B7C2E"/>
    <w:rsid w:val="003C0EE0"/>
    <w:rsid w:val="003C3F06"/>
    <w:rsid w:val="003C4C93"/>
    <w:rsid w:val="003C7C7A"/>
    <w:rsid w:val="003D0B8A"/>
    <w:rsid w:val="003D1377"/>
    <w:rsid w:val="003D1410"/>
    <w:rsid w:val="003D2DAA"/>
    <w:rsid w:val="003D46AC"/>
    <w:rsid w:val="003D79BB"/>
    <w:rsid w:val="003E02BC"/>
    <w:rsid w:val="003E26B3"/>
    <w:rsid w:val="003E2832"/>
    <w:rsid w:val="003E3DAF"/>
    <w:rsid w:val="003E3F2D"/>
    <w:rsid w:val="003E4D98"/>
    <w:rsid w:val="003E5379"/>
    <w:rsid w:val="003E57F4"/>
    <w:rsid w:val="003E5EFE"/>
    <w:rsid w:val="003F04C3"/>
    <w:rsid w:val="003F19C8"/>
    <w:rsid w:val="003F25CE"/>
    <w:rsid w:val="003F4FC3"/>
    <w:rsid w:val="003F678E"/>
    <w:rsid w:val="003F75E1"/>
    <w:rsid w:val="004006F7"/>
    <w:rsid w:val="0040156B"/>
    <w:rsid w:val="00401B85"/>
    <w:rsid w:val="004021F3"/>
    <w:rsid w:val="00402984"/>
    <w:rsid w:val="00402E67"/>
    <w:rsid w:val="004107B1"/>
    <w:rsid w:val="00411383"/>
    <w:rsid w:val="00411D38"/>
    <w:rsid w:val="00412279"/>
    <w:rsid w:val="004132B0"/>
    <w:rsid w:val="00413A4D"/>
    <w:rsid w:val="00413FAB"/>
    <w:rsid w:val="00414090"/>
    <w:rsid w:val="0041454B"/>
    <w:rsid w:val="00416B76"/>
    <w:rsid w:val="004218A6"/>
    <w:rsid w:val="00424250"/>
    <w:rsid w:val="00424C0A"/>
    <w:rsid w:val="0042609C"/>
    <w:rsid w:val="00426F2B"/>
    <w:rsid w:val="00427057"/>
    <w:rsid w:val="00427591"/>
    <w:rsid w:val="00427BA7"/>
    <w:rsid w:val="00430336"/>
    <w:rsid w:val="00430E66"/>
    <w:rsid w:val="00434DBF"/>
    <w:rsid w:val="0043640B"/>
    <w:rsid w:val="004373B2"/>
    <w:rsid w:val="00440925"/>
    <w:rsid w:val="00440E14"/>
    <w:rsid w:val="00442281"/>
    <w:rsid w:val="00442759"/>
    <w:rsid w:val="00442C3D"/>
    <w:rsid w:val="00445284"/>
    <w:rsid w:val="00445B5F"/>
    <w:rsid w:val="00446388"/>
    <w:rsid w:val="004517E1"/>
    <w:rsid w:val="00452235"/>
    <w:rsid w:val="00452741"/>
    <w:rsid w:val="004532C4"/>
    <w:rsid w:val="004538BD"/>
    <w:rsid w:val="00453A1D"/>
    <w:rsid w:val="00454E58"/>
    <w:rsid w:val="00456878"/>
    <w:rsid w:val="00456908"/>
    <w:rsid w:val="00456CA4"/>
    <w:rsid w:val="00457BE0"/>
    <w:rsid w:val="00461EB8"/>
    <w:rsid w:val="00464A71"/>
    <w:rsid w:val="004677CA"/>
    <w:rsid w:val="0047148C"/>
    <w:rsid w:val="00471E71"/>
    <w:rsid w:val="0047410F"/>
    <w:rsid w:val="00474551"/>
    <w:rsid w:val="0047652F"/>
    <w:rsid w:val="0047731E"/>
    <w:rsid w:val="0047771F"/>
    <w:rsid w:val="00480668"/>
    <w:rsid w:val="00480FBC"/>
    <w:rsid w:val="004817DD"/>
    <w:rsid w:val="00483751"/>
    <w:rsid w:val="00483784"/>
    <w:rsid w:val="00483DEB"/>
    <w:rsid w:val="00490B0F"/>
    <w:rsid w:val="00491833"/>
    <w:rsid w:val="00493C2A"/>
    <w:rsid w:val="004955F6"/>
    <w:rsid w:val="00495B47"/>
    <w:rsid w:val="00496F42"/>
    <w:rsid w:val="004974D9"/>
    <w:rsid w:val="0049777B"/>
    <w:rsid w:val="004A1100"/>
    <w:rsid w:val="004A3A7F"/>
    <w:rsid w:val="004A50B3"/>
    <w:rsid w:val="004A699E"/>
    <w:rsid w:val="004B0868"/>
    <w:rsid w:val="004B2EF0"/>
    <w:rsid w:val="004B4C9A"/>
    <w:rsid w:val="004B71AF"/>
    <w:rsid w:val="004C0120"/>
    <w:rsid w:val="004C0447"/>
    <w:rsid w:val="004C0835"/>
    <w:rsid w:val="004C0F7C"/>
    <w:rsid w:val="004C16FF"/>
    <w:rsid w:val="004C2058"/>
    <w:rsid w:val="004C50DF"/>
    <w:rsid w:val="004C6986"/>
    <w:rsid w:val="004C6D98"/>
    <w:rsid w:val="004D1DA1"/>
    <w:rsid w:val="004D213B"/>
    <w:rsid w:val="004D2A16"/>
    <w:rsid w:val="004D6C9E"/>
    <w:rsid w:val="004E18F3"/>
    <w:rsid w:val="004E2AB9"/>
    <w:rsid w:val="004E7500"/>
    <w:rsid w:val="004F1FAE"/>
    <w:rsid w:val="004F2BEA"/>
    <w:rsid w:val="004F3BA7"/>
    <w:rsid w:val="004F3D28"/>
    <w:rsid w:val="004F6E6A"/>
    <w:rsid w:val="004F7AAE"/>
    <w:rsid w:val="00504B35"/>
    <w:rsid w:val="00505948"/>
    <w:rsid w:val="005063E8"/>
    <w:rsid w:val="005076BB"/>
    <w:rsid w:val="005126F0"/>
    <w:rsid w:val="00512978"/>
    <w:rsid w:val="0051331F"/>
    <w:rsid w:val="00513DC9"/>
    <w:rsid w:val="0051658B"/>
    <w:rsid w:val="00523DAB"/>
    <w:rsid w:val="00527421"/>
    <w:rsid w:val="0053015B"/>
    <w:rsid w:val="005328F4"/>
    <w:rsid w:val="0053445D"/>
    <w:rsid w:val="00535B9C"/>
    <w:rsid w:val="005361F9"/>
    <w:rsid w:val="00537771"/>
    <w:rsid w:val="00540E69"/>
    <w:rsid w:val="005442DD"/>
    <w:rsid w:val="005443FF"/>
    <w:rsid w:val="00545884"/>
    <w:rsid w:val="00545AEE"/>
    <w:rsid w:val="005471D6"/>
    <w:rsid w:val="00547F17"/>
    <w:rsid w:val="00550A40"/>
    <w:rsid w:val="00555846"/>
    <w:rsid w:val="0055795A"/>
    <w:rsid w:val="00560598"/>
    <w:rsid w:val="00563296"/>
    <w:rsid w:val="005632EB"/>
    <w:rsid w:val="0056496F"/>
    <w:rsid w:val="00567F27"/>
    <w:rsid w:val="005709F0"/>
    <w:rsid w:val="00571CCE"/>
    <w:rsid w:val="005737C8"/>
    <w:rsid w:val="00573990"/>
    <w:rsid w:val="00573ECC"/>
    <w:rsid w:val="0057409C"/>
    <w:rsid w:val="00574578"/>
    <w:rsid w:val="00575275"/>
    <w:rsid w:val="005761C7"/>
    <w:rsid w:val="005767B0"/>
    <w:rsid w:val="00577B72"/>
    <w:rsid w:val="00577CFF"/>
    <w:rsid w:val="0058095C"/>
    <w:rsid w:val="00581845"/>
    <w:rsid w:val="00583419"/>
    <w:rsid w:val="00584576"/>
    <w:rsid w:val="00585754"/>
    <w:rsid w:val="00585BA2"/>
    <w:rsid w:val="0058745E"/>
    <w:rsid w:val="00593A95"/>
    <w:rsid w:val="005944EA"/>
    <w:rsid w:val="005945B4"/>
    <w:rsid w:val="005952BC"/>
    <w:rsid w:val="00596001"/>
    <w:rsid w:val="00596026"/>
    <w:rsid w:val="00597F8F"/>
    <w:rsid w:val="005A0F8F"/>
    <w:rsid w:val="005A2C6A"/>
    <w:rsid w:val="005A34AD"/>
    <w:rsid w:val="005A3B1E"/>
    <w:rsid w:val="005A5910"/>
    <w:rsid w:val="005A59A1"/>
    <w:rsid w:val="005A695D"/>
    <w:rsid w:val="005B0BFF"/>
    <w:rsid w:val="005B11AB"/>
    <w:rsid w:val="005B263F"/>
    <w:rsid w:val="005B2E57"/>
    <w:rsid w:val="005B3CDD"/>
    <w:rsid w:val="005B6F29"/>
    <w:rsid w:val="005B6F87"/>
    <w:rsid w:val="005B70C7"/>
    <w:rsid w:val="005C0379"/>
    <w:rsid w:val="005C1C8C"/>
    <w:rsid w:val="005C3294"/>
    <w:rsid w:val="005C32EA"/>
    <w:rsid w:val="005C7A0D"/>
    <w:rsid w:val="005D4244"/>
    <w:rsid w:val="005D7246"/>
    <w:rsid w:val="005E1F63"/>
    <w:rsid w:val="005E2166"/>
    <w:rsid w:val="005E2876"/>
    <w:rsid w:val="005E5135"/>
    <w:rsid w:val="005E62CE"/>
    <w:rsid w:val="005F007A"/>
    <w:rsid w:val="005F3FA6"/>
    <w:rsid w:val="005F647B"/>
    <w:rsid w:val="005F65E0"/>
    <w:rsid w:val="005F72F1"/>
    <w:rsid w:val="00601215"/>
    <w:rsid w:val="006026A7"/>
    <w:rsid w:val="0060304C"/>
    <w:rsid w:val="006054C6"/>
    <w:rsid w:val="00605F6D"/>
    <w:rsid w:val="006060C1"/>
    <w:rsid w:val="00606DD8"/>
    <w:rsid w:val="006074E3"/>
    <w:rsid w:val="00607D02"/>
    <w:rsid w:val="00607F85"/>
    <w:rsid w:val="006114BB"/>
    <w:rsid w:val="00611DCC"/>
    <w:rsid w:val="006126CC"/>
    <w:rsid w:val="00612E6B"/>
    <w:rsid w:val="00613156"/>
    <w:rsid w:val="00613588"/>
    <w:rsid w:val="00614D5A"/>
    <w:rsid w:val="006163C4"/>
    <w:rsid w:val="0061643C"/>
    <w:rsid w:val="00620E07"/>
    <w:rsid w:val="006221D6"/>
    <w:rsid w:val="00623CB7"/>
    <w:rsid w:val="006279B0"/>
    <w:rsid w:val="00630AF5"/>
    <w:rsid w:val="00630F63"/>
    <w:rsid w:val="006313AC"/>
    <w:rsid w:val="006313D1"/>
    <w:rsid w:val="00631528"/>
    <w:rsid w:val="0063448E"/>
    <w:rsid w:val="00634797"/>
    <w:rsid w:val="00634F54"/>
    <w:rsid w:val="00634FD7"/>
    <w:rsid w:val="00637BC2"/>
    <w:rsid w:val="00640290"/>
    <w:rsid w:val="0064153C"/>
    <w:rsid w:val="006424B8"/>
    <w:rsid w:val="00643F10"/>
    <w:rsid w:val="006464E5"/>
    <w:rsid w:val="0065081C"/>
    <w:rsid w:val="0065360B"/>
    <w:rsid w:val="006537AB"/>
    <w:rsid w:val="00656BCE"/>
    <w:rsid w:val="0066096D"/>
    <w:rsid w:val="006622BC"/>
    <w:rsid w:val="00662BEA"/>
    <w:rsid w:val="0066351E"/>
    <w:rsid w:val="00663F6B"/>
    <w:rsid w:val="00665A64"/>
    <w:rsid w:val="00666213"/>
    <w:rsid w:val="00666759"/>
    <w:rsid w:val="00671615"/>
    <w:rsid w:val="006721C2"/>
    <w:rsid w:val="00672436"/>
    <w:rsid w:val="00673C95"/>
    <w:rsid w:val="00673F9F"/>
    <w:rsid w:val="00675240"/>
    <w:rsid w:val="00675242"/>
    <w:rsid w:val="0067662C"/>
    <w:rsid w:val="00676A5F"/>
    <w:rsid w:val="00676D30"/>
    <w:rsid w:val="00677325"/>
    <w:rsid w:val="0068466F"/>
    <w:rsid w:val="006849A8"/>
    <w:rsid w:val="00686FF6"/>
    <w:rsid w:val="00687BA0"/>
    <w:rsid w:val="00687F55"/>
    <w:rsid w:val="00691145"/>
    <w:rsid w:val="00693A22"/>
    <w:rsid w:val="0069714C"/>
    <w:rsid w:val="006A264D"/>
    <w:rsid w:val="006A4AB0"/>
    <w:rsid w:val="006A74DB"/>
    <w:rsid w:val="006B06F8"/>
    <w:rsid w:val="006B1496"/>
    <w:rsid w:val="006B2380"/>
    <w:rsid w:val="006B30B8"/>
    <w:rsid w:val="006B4828"/>
    <w:rsid w:val="006B7BFB"/>
    <w:rsid w:val="006B7FE0"/>
    <w:rsid w:val="006C2B63"/>
    <w:rsid w:val="006C321E"/>
    <w:rsid w:val="006C3BA9"/>
    <w:rsid w:val="006C4AEB"/>
    <w:rsid w:val="006C4B70"/>
    <w:rsid w:val="006C5B87"/>
    <w:rsid w:val="006C6252"/>
    <w:rsid w:val="006C71E7"/>
    <w:rsid w:val="006C720A"/>
    <w:rsid w:val="006C79DE"/>
    <w:rsid w:val="006D4383"/>
    <w:rsid w:val="006D69FB"/>
    <w:rsid w:val="006D7EE4"/>
    <w:rsid w:val="006E00CF"/>
    <w:rsid w:val="006E1BEE"/>
    <w:rsid w:val="006E48F5"/>
    <w:rsid w:val="006E53BA"/>
    <w:rsid w:val="006E73AE"/>
    <w:rsid w:val="006F0C43"/>
    <w:rsid w:val="006F1CD2"/>
    <w:rsid w:val="006F26D8"/>
    <w:rsid w:val="006F55A0"/>
    <w:rsid w:val="006F712B"/>
    <w:rsid w:val="006F73B7"/>
    <w:rsid w:val="006F7E26"/>
    <w:rsid w:val="00701B06"/>
    <w:rsid w:val="00702E0B"/>
    <w:rsid w:val="00703737"/>
    <w:rsid w:val="0070472A"/>
    <w:rsid w:val="00705555"/>
    <w:rsid w:val="007063F2"/>
    <w:rsid w:val="00706B58"/>
    <w:rsid w:val="00706E6E"/>
    <w:rsid w:val="0071173B"/>
    <w:rsid w:val="00711FD7"/>
    <w:rsid w:val="0071388B"/>
    <w:rsid w:val="0071521A"/>
    <w:rsid w:val="0071649B"/>
    <w:rsid w:val="00717D9D"/>
    <w:rsid w:val="00720236"/>
    <w:rsid w:val="00721C7B"/>
    <w:rsid w:val="00721E77"/>
    <w:rsid w:val="00723E55"/>
    <w:rsid w:val="00725CC9"/>
    <w:rsid w:val="00726243"/>
    <w:rsid w:val="00726C92"/>
    <w:rsid w:val="0072703E"/>
    <w:rsid w:val="00727198"/>
    <w:rsid w:val="00732291"/>
    <w:rsid w:val="00732754"/>
    <w:rsid w:val="00734499"/>
    <w:rsid w:val="00735587"/>
    <w:rsid w:val="007361A4"/>
    <w:rsid w:val="00737849"/>
    <w:rsid w:val="0074082C"/>
    <w:rsid w:val="007427CC"/>
    <w:rsid w:val="00744B86"/>
    <w:rsid w:val="00746B9C"/>
    <w:rsid w:val="0075045C"/>
    <w:rsid w:val="00751F40"/>
    <w:rsid w:val="00753E39"/>
    <w:rsid w:val="00754F7A"/>
    <w:rsid w:val="00755006"/>
    <w:rsid w:val="00755D16"/>
    <w:rsid w:val="00760B5D"/>
    <w:rsid w:val="007612C4"/>
    <w:rsid w:val="00762431"/>
    <w:rsid w:val="00762C4F"/>
    <w:rsid w:val="0076382B"/>
    <w:rsid w:val="00764A70"/>
    <w:rsid w:val="0076635F"/>
    <w:rsid w:val="00766393"/>
    <w:rsid w:val="00773217"/>
    <w:rsid w:val="00773455"/>
    <w:rsid w:val="00773C6E"/>
    <w:rsid w:val="0077538E"/>
    <w:rsid w:val="00775B6C"/>
    <w:rsid w:val="00776C8C"/>
    <w:rsid w:val="007800C2"/>
    <w:rsid w:val="0078074D"/>
    <w:rsid w:val="00782C9B"/>
    <w:rsid w:val="00783753"/>
    <w:rsid w:val="00783EF9"/>
    <w:rsid w:val="0078544F"/>
    <w:rsid w:val="007858D6"/>
    <w:rsid w:val="00793229"/>
    <w:rsid w:val="007937D1"/>
    <w:rsid w:val="00795B7B"/>
    <w:rsid w:val="00796601"/>
    <w:rsid w:val="007A3491"/>
    <w:rsid w:val="007A35CA"/>
    <w:rsid w:val="007A7C15"/>
    <w:rsid w:val="007B2312"/>
    <w:rsid w:val="007B3F22"/>
    <w:rsid w:val="007B484A"/>
    <w:rsid w:val="007B5CD1"/>
    <w:rsid w:val="007B7254"/>
    <w:rsid w:val="007C234D"/>
    <w:rsid w:val="007C57AE"/>
    <w:rsid w:val="007C5A6D"/>
    <w:rsid w:val="007C7029"/>
    <w:rsid w:val="007D11A7"/>
    <w:rsid w:val="007D2EA6"/>
    <w:rsid w:val="007D3B34"/>
    <w:rsid w:val="007D3EB9"/>
    <w:rsid w:val="007E026F"/>
    <w:rsid w:val="007E1830"/>
    <w:rsid w:val="007E2937"/>
    <w:rsid w:val="007E74F6"/>
    <w:rsid w:val="007E77DA"/>
    <w:rsid w:val="007F0409"/>
    <w:rsid w:val="007F1C99"/>
    <w:rsid w:val="007F3923"/>
    <w:rsid w:val="007F3C63"/>
    <w:rsid w:val="007F528B"/>
    <w:rsid w:val="007F58B0"/>
    <w:rsid w:val="007F6209"/>
    <w:rsid w:val="007F702E"/>
    <w:rsid w:val="0080021B"/>
    <w:rsid w:val="00804BB6"/>
    <w:rsid w:val="008128D7"/>
    <w:rsid w:val="0081488E"/>
    <w:rsid w:val="00814993"/>
    <w:rsid w:val="008158F5"/>
    <w:rsid w:val="00815B57"/>
    <w:rsid w:val="008210FB"/>
    <w:rsid w:val="008238F2"/>
    <w:rsid w:val="00823DB7"/>
    <w:rsid w:val="00825771"/>
    <w:rsid w:val="0083108A"/>
    <w:rsid w:val="00831161"/>
    <w:rsid w:val="008321CB"/>
    <w:rsid w:val="00832344"/>
    <w:rsid w:val="00833784"/>
    <w:rsid w:val="00833DF5"/>
    <w:rsid w:val="008347BA"/>
    <w:rsid w:val="00835066"/>
    <w:rsid w:val="008350D5"/>
    <w:rsid w:val="00835E58"/>
    <w:rsid w:val="0084044A"/>
    <w:rsid w:val="00840A4A"/>
    <w:rsid w:val="00846D79"/>
    <w:rsid w:val="008503BB"/>
    <w:rsid w:val="00850A2E"/>
    <w:rsid w:val="0085491A"/>
    <w:rsid w:val="00860AB3"/>
    <w:rsid w:val="00860D57"/>
    <w:rsid w:val="008611D8"/>
    <w:rsid w:val="00863F0B"/>
    <w:rsid w:val="00864406"/>
    <w:rsid w:val="00864F66"/>
    <w:rsid w:val="0087120B"/>
    <w:rsid w:val="00871427"/>
    <w:rsid w:val="008734FB"/>
    <w:rsid w:val="00873753"/>
    <w:rsid w:val="00874853"/>
    <w:rsid w:val="00874956"/>
    <w:rsid w:val="008768D5"/>
    <w:rsid w:val="00876920"/>
    <w:rsid w:val="00877ED7"/>
    <w:rsid w:val="00880954"/>
    <w:rsid w:val="00883D03"/>
    <w:rsid w:val="008842FF"/>
    <w:rsid w:val="008865AE"/>
    <w:rsid w:val="00886E4C"/>
    <w:rsid w:val="00887318"/>
    <w:rsid w:val="00887FFB"/>
    <w:rsid w:val="00891667"/>
    <w:rsid w:val="008934B4"/>
    <w:rsid w:val="00896FDF"/>
    <w:rsid w:val="008975AB"/>
    <w:rsid w:val="008A0CF9"/>
    <w:rsid w:val="008A1D1D"/>
    <w:rsid w:val="008A25B8"/>
    <w:rsid w:val="008A277C"/>
    <w:rsid w:val="008A2C68"/>
    <w:rsid w:val="008A61CD"/>
    <w:rsid w:val="008A6ED0"/>
    <w:rsid w:val="008B060C"/>
    <w:rsid w:val="008B0B77"/>
    <w:rsid w:val="008B1725"/>
    <w:rsid w:val="008B28B3"/>
    <w:rsid w:val="008B4578"/>
    <w:rsid w:val="008B45FE"/>
    <w:rsid w:val="008B53D5"/>
    <w:rsid w:val="008B58E8"/>
    <w:rsid w:val="008B599A"/>
    <w:rsid w:val="008B6474"/>
    <w:rsid w:val="008C0C21"/>
    <w:rsid w:val="008C536B"/>
    <w:rsid w:val="008D15B5"/>
    <w:rsid w:val="008D23FD"/>
    <w:rsid w:val="008D3345"/>
    <w:rsid w:val="008D358D"/>
    <w:rsid w:val="008D3672"/>
    <w:rsid w:val="008D42CC"/>
    <w:rsid w:val="008D47D4"/>
    <w:rsid w:val="008E2BD4"/>
    <w:rsid w:val="008E3241"/>
    <w:rsid w:val="008E3785"/>
    <w:rsid w:val="008F11FD"/>
    <w:rsid w:val="008F1A78"/>
    <w:rsid w:val="008F2C11"/>
    <w:rsid w:val="008F3E06"/>
    <w:rsid w:val="008F4485"/>
    <w:rsid w:val="008F4F87"/>
    <w:rsid w:val="008F6253"/>
    <w:rsid w:val="008F6FDC"/>
    <w:rsid w:val="009004F4"/>
    <w:rsid w:val="00903690"/>
    <w:rsid w:val="00904880"/>
    <w:rsid w:val="00904BDB"/>
    <w:rsid w:val="0090578B"/>
    <w:rsid w:val="00905E66"/>
    <w:rsid w:val="00910BCA"/>
    <w:rsid w:val="00913DD5"/>
    <w:rsid w:val="009147E4"/>
    <w:rsid w:val="00915E84"/>
    <w:rsid w:val="00916BF0"/>
    <w:rsid w:val="009173BF"/>
    <w:rsid w:val="00917843"/>
    <w:rsid w:val="00921DAF"/>
    <w:rsid w:val="00921ED6"/>
    <w:rsid w:val="00922DF3"/>
    <w:rsid w:val="00922FF0"/>
    <w:rsid w:val="00923019"/>
    <w:rsid w:val="00923B93"/>
    <w:rsid w:val="00923DF3"/>
    <w:rsid w:val="00924CFA"/>
    <w:rsid w:val="00925962"/>
    <w:rsid w:val="009259F6"/>
    <w:rsid w:val="00925F3A"/>
    <w:rsid w:val="009270AA"/>
    <w:rsid w:val="00927F04"/>
    <w:rsid w:val="00930556"/>
    <w:rsid w:val="009318C1"/>
    <w:rsid w:val="00931DB3"/>
    <w:rsid w:val="00932A43"/>
    <w:rsid w:val="00935084"/>
    <w:rsid w:val="00935836"/>
    <w:rsid w:val="009371D7"/>
    <w:rsid w:val="00937D7A"/>
    <w:rsid w:val="00942695"/>
    <w:rsid w:val="00942B8B"/>
    <w:rsid w:val="00943FE7"/>
    <w:rsid w:val="00946E19"/>
    <w:rsid w:val="00947B3B"/>
    <w:rsid w:val="0095193E"/>
    <w:rsid w:val="00952ABD"/>
    <w:rsid w:val="009539A5"/>
    <w:rsid w:val="00953AE2"/>
    <w:rsid w:val="00953EAE"/>
    <w:rsid w:val="00955EDA"/>
    <w:rsid w:val="0095647A"/>
    <w:rsid w:val="00956743"/>
    <w:rsid w:val="0095719F"/>
    <w:rsid w:val="00957865"/>
    <w:rsid w:val="00962A90"/>
    <w:rsid w:val="00962B6D"/>
    <w:rsid w:val="009677B1"/>
    <w:rsid w:val="00970C89"/>
    <w:rsid w:val="00974AB8"/>
    <w:rsid w:val="00975365"/>
    <w:rsid w:val="00975BD0"/>
    <w:rsid w:val="00977182"/>
    <w:rsid w:val="00980222"/>
    <w:rsid w:val="00981F48"/>
    <w:rsid w:val="00982BF7"/>
    <w:rsid w:val="00983872"/>
    <w:rsid w:val="00984424"/>
    <w:rsid w:val="0098665D"/>
    <w:rsid w:val="0098798A"/>
    <w:rsid w:val="00993AED"/>
    <w:rsid w:val="0099534D"/>
    <w:rsid w:val="009955B2"/>
    <w:rsid w:val="00995F3F"/>
    <w:rsid w:val="009A019E"/>
    <w:rsid w:val="009A0620"/>
    <w:rsid w:val="009A0F9E"/>
    <w:rsid w:val="009A1324"/>
    <w:rsid w:val="009A1627"/>
    <w:rsid w:val="009A2259"/>
    <w:rsid w:val="009A24A8"/>
    <w:rsid w:val="009A39AD"/>
    <w:rsid w:val="009A47B9"/>
    <w:rsid w:val="009A6178"/>
    <w:rsid w:val="009A6523"/>
    <w:rsid w:val="009A704E"/>
    <w:rsid w:val="009B0FFE"/>
    <w:rsid w:val="009B2C31"/>
    <w:rsid w:val="009B772E"/>
    <w:rsid w:val="009C0F51"/>
    <w:rsid w:val="009C3964"/>
    <w:rsid w:val="009C40A8"/>
    <w:rsid w:val="009C7096"/>
    <w:rsid w:val="009D3255"/>
    <w:rsid w:val="009D37C3"/>
    <w:rsid w:val="009D434A"/>
    <w:rsid w:val="009D54FB"/>
    <w:rsid w:val="009D6A87"/>
    <w:rsid w:val="009D6F12"/>
    <w:rsid w:val="009E1F1F"/>
    <w:rsid w:val="009E3283"/>
    <w:rsid w:val="009E3749"/>
    <w:rsid w:val="009E4095"/>
    <w:rsid w:val="009E5011"/>
    <w:rsid w:val="009E5377"/>
    <w:rsid w:val="009E7D18"/>
    <w:rsid w:val="009F0BCC"/>
    <w:rsid w:val="009F0F6C"/>
    <w:rsid w:val="009F2AC6"/>
    <w:rsid w:val="009F41C9"/>
    <w:rsid w:val="009F5746"/>
    <w:rsid w:val="009F5FEB"/>
    <w:rsid w:val="00A00766"/>
    <w:rsid w:val="00A00E0A"/>
    <w:rsid w:val="00A029D2"/>
    <w:rsid w:val="00A02E73"/>
    <w:rsid w:val="00A04D4F"/>
    <w:rsid w:val="00A06F9F"/>
    <w:rsid w:val="00A11649"/>
    <w:rsid w:val="00A135FA"/>
    <w:rsid w:val="00A13C0A"/>
    <w:rsid w:val="00A14E88"/>
    <w:rsid w:val="00A164AA"/>
    <w:rsid w:val="00A1696B"/>
    <w:rsid w:val="00A17FA4"/>
    <w:rsid w:val="00A22488"/>
    <w:rsid w:val="00A248AA"/>
    <w:rsid w:val="00A3094B"/>
    <w:rsid w:val="00A35440"/>
    <w:rsid w:val="00A357E9"/>
    <w:rsid w:val="00A362B1"/>
    <w:rsid w:val="00A37D66"/>
    <w:rsid w:val="00A408AA"/>
    <w:rsid w:val="00A41F2B"/>
    <w:rsid w:val="00A43349"/>
    <w:rsid w:val="00A43750"/>
    <w:rsid w:val="00A4499A"/>
    <w:rsid w:val="00A531DD"/>
    <w:rsid w:val="00A5670F"/>
    <w:rsid w:val="00A6054C"/>
    <w:rsid w:val="00A60B26"/>
    <w:rsid w:val="00A617BC"/>
    <w:rsid w:val="00A61AB0"/>
    <w:rsid w:val="00A61C2D"/>
    <w:rsid w:val="00A625B2"/>
    <w:rsid w:val="00A62F41"/>
    <w:rsid w:val="00A65824"/>
    <w:rsid w:val="00A659B1"/>
    <w:rsid w:val="00A664AD"/>
    <w:rsid w:val="00A67047"/>
    <w:rsid w:val="00A673AD"/>
    <w:rsid w:val="00A719A7"/>
    <w:rsid w:val="00A72E9B"/>
    <w:rsid w:val="00A737CA"/>
    <w:rsid w:val="00A7452D"/>
    <w:rsid w:val="00A76ED3"/>
    <w:rsid w:val="00A7757F"/>
    <w:rsid w:val="00A828E4"/>
    <w:rsid w:val="00A86306"/>
    <w:rsid w:val="00A86376"/>
    <w:rsid w:val="00A869FB"/>
    <w:rsid w:val="00A878C6"/>
    <w:rsid w:val="00A90C94"/>
    <w:rsid w:val="00A9100E"/>
    <w:rsid w:val="00A9106F"/>
    <w:rsid w:val="00A92B51"/>
    <w:rsid w:val="00A9394C"/>
    <w:rsid w:val="00A95437"/>
    <w:rsid w:val="00A95724"/>
    <w:rsid w:val="00A959A1"/>
    <w:rsid w:val="00A9662D"/>
    <w:rsid w:val="00A96C8A"/>
    <w:rsid w:val="00A97FDD"/>
    <w:rsid w:val="00AA0830"/>
    <w:rsid w:val="00AA10A3"/>
    <w:rsid w:val="00AA203A"/>
    <w:rsid w:val="00AA2AD1"/>
    <w:rsid w:val="00AA385E"/>
    <w:rsid w:val="00AA43D3"/>
    <w:rsid w:val="00AA4E75"/>
    <w:rsid w:val="00AA6D61"/>
    <w:rsid w:val="00AA7D5B"/>
    <w:rsid w:val="00AB0701"/>
    <w:rsid w:val="00AB1B0D"/>
    <w:rsid w:val="00AB239E"/>
    <w:rsid w:val="00AB47A5"/>
    <w:rsid w:val="00AB579E"/>
    <w:rsid w:val="00AB57DE"/>
    <w:rsid w:val="00AB713A"/>
    <w:rsid w:val="00AC01E1"/>
    <w:rsid w:val="00AC1DE0"/>
    <w:rsid w:val="00AC3818"/>
    <w:rsid w:val="00AC3953"/>
    <w:rsid w:val="00AC6E72"/>
    <w:rsid w:val="00AC79C5"/>
    <w:rsid w:val="00AC7E5B"/>
    <w:rsid w:val="00AD24D8"/>
    <w:rsid w:val="00AD2F1B"/>
    <w:rsid w:val="00AD379B"/>
    <w:rsid w:val="00AD4575"/>
    <w:rsid w:val="00AD60D0"/>
    <w:rsid w:val="00AD77C6"/>
    <w:rsid w:val="00AE00D7"/>
    <w:rsid w:val="00AE0979"/>
    <w:rsid w:val="00AE1A0D"/>
    <w:rsid w:val="00AE1EEF"/>
    <w:rsid w:val="00AE35D0"/>
    <w:rsid w:val="00AE5AA6"/>
    <w:rsid w:val="00AE611D"/>
    <w:rsid w:val="00AE6991"/>
    <w:rsid w:val="00AE70E1"/>
    <w:rsid w:val="00AF2CCB"/>
    <w:rsid w:val="00AF2FDA"/>
    <w:rsid w:val="00AF3280"/>
    <w:rsid w:val="00AF3656"/>
    <w:rsid w:val="00AF4144"/>
    <w:rsid w:val="00AF4718"/>
    <w:rsid w:val="00AF49CE"/>
    <w:rsid w:val="00AF541F"/>
    <w:rsid w:val="00AF5FD4"/>
    <w:rsid w:val="00AF6E8C"/>
    <w:rsid w:val="00AF7B3B"/>
    <w:rsid w:val="00B00CF1"/>
    <w:rsid w:val="00B0166A"/>
    <w:rsid w:val="00B016DA"/>
    <w:rsid w:val="00B0171F"/>
    <w:rsid w:val="00B0593A"/>
    <w:rsid w:val="00B062FA"/>
    <w:rsid w:val="00B07B86"/>
    <w:rsid w:val="00B10C00"/>
    <w:rsid w:val="00B10D34"/>
    <w:rsid w:val="00B124B3"/>
    <w:rsid w:val="00B1268A"/>
    <w:rsid w:val="00B13164"/>
    <w:rsid w:val="00B15324"/>
    <w:rsid w:val="00B15B2F"/>
    <w:rsid w:val="00B164E5"/>
    <w:rsid w:val="00B204AA"/>
    <w:rsid w:val="00B20740"/>
    <w:rsid w:val="00B21EC5"/>
    <w:rsid w:val="00B23229"/>
    <w:rsid w:val="00B2371E"/>
    <w:rsid w:val="00B24058"/>
    <w:rsid w:val="00B24EA5"/>
    <w:rsid w:val="00B26455"/>
    <w:rsid w:val="00B279FA"/>
    <w:rsid w:val="00B27A62"/>
    <w:rsid w:val="00B318FA"/>
    <w:rsid w:val="00B321F5"/>
    <w:rsid w:val="00B3413C"/>
    <w:rsid w:val="00B34334"/>
    <w:rsid w:val="00B344F4"/>
    <w:rsid w:val="00B3577E"/>
    <w:rsid w:val="00B358E0"/>
    <w:rsid w:val="00B35C4F"/>
    <w:rsid w:val="00B379E3"/>
    <w:rsid w:val="00B40C8E"/>
    <w:rsid w:val="00B41027"/>
    <w:rsid w:val="00B415F1"/>
    <w:rsid w:val="00B42675"/>
    <w:rsid w:val="00B45112"/>
    <w:rsid w:val="00B45F80"/>
    <w:rsid w:val="00B5203F"/>
    <w:rsid w:val="00B52204"/>
    <w:rsid w:val="00B52DFA"/>
    <w:rsid w:val="00B52E02"/>
    <w:rsid w:val="00B54A79"/>
    <w:rsid w:val="00B60EDB"/>
    <w:rsid w:val="00B610AD"/>
    <w:rsid w:val="00B61911"/>
    <w:rsid w:val="00B63DD3"/>
    <w:rsid w:val="00B64847"/>
    <w:rsid w:val="00B67B8D"/>
    <w:rsid w:val="00B71E25"/>
    <w:rsid w:val="00B75638"/>
    <w:rsid w:val="00B75A35"/>
    <w:rsid w:val="00B77062"/>
    <w:rsid w:val="00B774CE"/>
    <w:rsid w:val="00B8039E"/>
    <w:rsid w:val="00B80FB4"/>
    <w:rsid w:val="00B81696"/>
    <w:rsid w:val="00B823D9"/>
    <w:rsid w:val="00B8441E"/>
    <w:rsid w:val="00B85E68"/>
    <w:rsid w:val="00B86ABE"/>
    <w:rsid w:val="00B87C41"/>
    <w:rsid w:val="00B907D1"/>
    <w:rsid w:val="00B90E78"/>
    <w:rsid w:val="00B96A18"/>
    <w:rsid w:val="00B9770A"/>
    <w:rsid w:val="00B97BA0"/>
    <w:rsid w:val="00BA24F9"/>
    <w:rsid w:val="00BA2C4B"/>
    <w:rsid w:val="00BA3072"/>
    <w:rsid w:val="00BA3B6B"/>
    <w:rsid w:val="00BA4497"/>
    <w:rsid w:val="00BA4B77"/>
    <w:rsid w:val="00BA505D"/>
    <w:rsid w:val="00BA63CF"/>
    <w:rsid w:val="00BB036C"/>
    <w:rsid w:val="00BB0B1D"/>
    <w:rsid w:val="00BB1115"/>
    <w:rsid w:val="00BB1211"/>
    <w:rsid w:val="00BB20FF"/>
    <w:rsid w:val="00BC08FD"/>
    <w:rsid w:val="00BC2C56"/>
    <w:rsid w:val="00BC40A3"/>
    <w:rsid w:val="00BC4AC7"/>
    <w:rsid w:val="00BC4D71"/>
    <w:rsid w:val="00BC6CB4"/>
    <w:rsid w:val="00BC72C3"/>
    <w:rsid w:val="00BC77E5"/>
    <w:rsid w:val="00BD368F"/>
    <w:rsid w:val="00BD3F4C"/>
    <w:rsid w:val="00BD4631"/>
    <w:rsid w:val="00BD651F"/>
    <w:rsid w:val="00BD66B5"/>
    <w:rsid w:val="00BE034C"/>
    <w:rsid w:val="00BE20C7"/>
    <w:rsid w:val="00BE2856"/>
    <w:rsid w:val="00BE3877"/>
    <w:rsid w:val="00BE4A32"/>
    <w:rsid w:val="00BE5A95"/>
    <w:rsid w:val="00BF1EB9"/>
    <w:rsid w:val="00BF2837"/>
    <w:rsid w:val="00BF354F"/>
    <w:rsid w:val="00BF3CDF"/>
    <w:rsid w:val="00BF77A7"/>
    <w:rsid w:val="00C00FC9"/>
    <w:rsid w:val="00C01666"/>
    <w:rsid w:val="00C01C70"/>
    <w:rsid w:val="00C02062"/>
    <w:rsid w:val="00C038AD"/>
    <w:rsid w:val="00C03B18"/>
    <w:rsid w:val="00C04CB9"/>
    <w:rsid w:val="00C052BB"/>
    <w:rsid w:val="00C11F79"/>
    <w:rsid w:val="00C1209E"/>
    <w:rsid w:val="00C2084A"/>
    <w:rsid w:val="00C20F00"/>
    <w:rsid w:val="00C21BA5"/>
    <w:rsid w:val="00C223E8"/>
    <w:rsid w:val="00C22891"/>
    <w:rsid w:val="00C22CF7"/>
    <w:rsid w:val="00C23237"/>
    <w:rsid w:val="00C25823"/>
    <w:rsid w:val="00C2680B"/>
    <w:rsid w:val="00C30B1C"/>
    <w:rsid w:val="00C33FDB"/>
    <w:rsid w:val="00C36C81"/>
    <w:rsid w:val="00C36F0E"/>
    <w:rsid w:val="00C374FA"/>
    <w:rsid w:val="00C41456"/>
    <w:rsid w:val="00C43A80"/>
    <w:rsid w:val="00C466AF"/>
    <w:rsid w:val="00C511B0"/>
    <w:rsid w:val="00C525FD"/>
    <w:rsid w:val="00C52F77"/>
    <w:rsid w:val="00C54411"/>
    <w:rsid w:val="00C55A36"/>
    <w:rsid w:val="00C562B4"/>
    <w:rsid w:val="00C61BD3"/>
    <w:rsid w:val="00C61C27"/>
    <w:rsid w:val="00C656EA"/>
    <w:rsid w:val="00C6749F"/>
    <w:rsid w:val="00C6785C"/>
    <w:rsid w:val="00C70AA3"/>
    <w:rsid w:val="00C7413C"/>
    <w:rsid w:val="00C746A9"/>
    <w:rsid w:val="00C7487A"/>
    <w:rsid w:val="00C74C89"/>
    <w:rsid w:val="00C75377"/>
    <w:rsid w:val="00C81E4E"/>
    <w:rsid w:val="00C82AA7"/>
    <w:rsid w:val="00C8343A"/>
    <w:rsid w:val="00C8355A"/>
    <w:rsid w:val="00C85589"/>
    <w:rsid w:val="00C8574F"/>
    <w:rsid w:val="00C85F8D"/>
    <w:rsid w:val="00C863C0"/>
    <w:rsid w:val="00C86758"/>
    <w:rsid w:val="00C868E6"/>
    <w:rsid w:val="00C87978"/>
    <w:rsid w:val="00C91FE9"/>
    <w:rsid w:val="00C92AAE"/>
    <w:rsid w:val="00C936CA"/>
    <w:rsid w:val="00C95DF0"/>
    <w:rsid w:val="00C97D78"/>
    <w:rsid w:val="00CA0C6C"/>
    <w:rsid w:val="00CA23E1"/>
    <w:rsid w:val="00CA34BD"/>
    <w:rsid w:val="00CA3E8C"/>
    <w:rsid w:val="00CA5F53"/>
    <w:rsid w:val="00CB3D62"/>
    <w:rsid w:val="00CB492C"/>
    <w:rsid w:val="00CB5E42"/>
    <w:rsid w:val="00CB621D"/>
    <w:rsid w:val="00CB6E81"/>
    <w:rsid w:val="00CC14A2"/>
    <w:rsid w:val="00CC4AF0"/>
    <w:rsid w:val="00CC5B1D"/>
    <w:rsid w:val="00CC64E3"/>
    <w:rsid w:val="00CD0311"/>
    <w:rsid w:val="00CD041E"/>
    <w:rsid w:val="00CD1922"/>
    <w:rsid w:val="00CD1E8E"/>
    <w:rsid w:val="00CD2164"/>
    <w:rsid w:val="00CD3A02"/>
    <w:rsid w:val="00CD3D6A"/>
    <w:rsid w:val="00CD5705"/>
    <w:rsid w:val="00CD6F07"/>
    <w:rsid w:val="00CE1003"/>
    <w:rsid w:val="00CE1EA6"/>
    <w:rsid w:val="00CE254B"/>
    <w:rsid w:val="00CE2EAE"/>
    <w:rsid w:val="00CE450B"/>
    <w:rsid w:val="00CE7B02"/>
    <w:rsid w:val="00CF16AF"/>
    <w:rsid w:val="00CF4085"/>
    <w:rsid w:val="00CF4B93"/>
    <w:rsid w:val="00D00F43"/>
    <w:rsid w:val="00D02D6D"/>
    <w:rsid w:val="00D04ECE"/>
    <w:rsid w:val="00D05983"/>
    <w:rsid w:val="00D06235"/>
    <w:rsid w:val="00D06D4F"/>
    <w:rsid w:val="00D12092"/>
    <w:rsid w:val="00D122DC"/>
    <w:rsid w:val="00D13043"/>
    <w:rsid w:val="00D135B9"/>
    <w:rsid w:val="00D14A67"/>
    <w:rsid w:val="00D15551"/>
    <w:rsid w:val="00D16109"/>
    <w:rsid w:val="00D16E08"/>
    <w:rsid w:val="00D1700D"/>
    <w:rsid w:val="00D200D4"/>
    <w:rsid w:val="00D21317"/>
    <w:rsid w:val="00D217F9"/>
    <w:rsid w:val="00D22619"/>
    <w:rsid w:val="00D22B49"/>
    <w:rsid w:val="00D23DE4"/>
    <w:rsid w:val="00D260E7"/>
    <w:rsid w:val="00D26A00"/>
    <w:rsid w:val="00D27B43"/>
    <w:rsid w:val="00D302D9"/>
    <w:rsid w:val="00D3185D"/>
    <w:rsid w:val="00D31B26"/>
    <w:rsid w:val="00D31D75"/>
    <w:rsid w:val="00D32422"/>
    <w:rsid w:val="00D3354F"/>
    <w:rsid w:val="00D3477D"/>
    <w:rsid w:val="00D360DC"/>
    <w:rsid w:val="00D379ED"/>
    <w:rsid w:val="00D4548C"/>
    <w:rsid w:val="00D5112D"/>
    <w:rsid w:val="00D51C26"/>
    <w:rsid w:val="00D52E28"/>
    <w:rsid w:val="00D53508"/>
    <w:rsid w:val="00D53B13"/>
    <w:rsid w:val="00D547B6"/>
    <w:rsid w:val="00D55034"/>
    <w:rsid w:val="00D5657D"/>
    <w:rsid w:val="00D56B27"/>
    <w:rsid w:val="00D56E44"/>
    <w:rsid w:val="00D601A7"/>
    <w:rsid w:val="00D6029F"/>
    <w:rsid w:val="00D61390"/>
    <w:rsid w:val="00D61D41"/>
    <w:rsid w:val="00D62D9B"/>
    <w:rsid w:val="00D63439"/>
    <w:rsid w:val="00D6381D"/>
    <w:rsid w:val="00D65645"/>
    <w:rsid w:val="00D670A5"/>
    <w:rsid w:val="00D706D8"/>
    <w:rsid w:val="00D7114D"/>
    <w:rsid w:val="00D714E5"/>
    <w:rsid w:val="00D71B63"/>
    <w:rsid w:val="00D72437"/>
    <w:rsid w:val="00D74EE7"/>
    <w:rsid w:val="00D750F6"/>
    <w:rsid w:val="00D76F3A"/>
    <w:rsid w:val="00D7716C"/>
    <w:rsid w:val="00D8342E"/>
    <w:rsid w:val="00D83D18"/>
    <w:rsid w:val="00D83E57"/>
    <w:rsid w:val="00D846CB"/>
    <w:rsid w:val="00D85AAA"/>
    <w:rsid w:val="00D8676B"/>
    <w:rsid w:val="00D8797C"/>
    <w:rsid w:val="00D900F7"/>
    <w:rsid w:val="00D90538"/>
    <w:rsid w:val="00D93BC4"/>
    <w:rsid w:val="00D95623"/>
    <w:rsid w:val="00DA011E"/>
    <w:rsid w:val="00DA05A0"/>
    <w:rsid w:val="00DA0A45"/>
    <w:rsid w:val="00DA1707"/>
    <w:rsid w:val="00DA1DCB"/>
    <w:rsid w:val="00DA2386"/>
    <w:rsid w:val="00DA2B8A"/>
    <w:rsid w:val="00DA2C6E"/>
    <w:rsid w:val="00DA4A84"/>
    <w:rsid w:val="00DA793B"/>
    <w:rsid w:val="00DB1FD7"/>
    <w:rsid w:val="00DB3341"/>
    <w:rsid w:val="00DB48EF"/>
    <w:rsid w:val="00DB4BE2"/>
    <w:rsid w:val="00DB608E"/>
    <w:rsid w:val="00DB62A2"/>
    <w:rsid w:val="00DC03EA"/>
    <w:rsid w:val="00DC1653"/>
    <w:rsid w:val="00DC3482"/>
    <w:rsid w:val="00DC4945"/>
    <w:rsid w:val="00DC4F26"/>
    <w:rsid w:val="00DC588D"/>
    <w:rsid w:val="00DC7E69"/>
    <w:rsid w:val="00DD0EA3"/>
    <w:rsid w:val="00DD2402"/>
    <w:rsid w:val="00DD33E8"/>
    <w:rsid w:val="00DD531D"/>
    <w:rsid w:val="00DD56E2"/>
    <w:rsid w:val="00DD68A3"/>
    <w:rsid w:val="00DD7028"/>
    <w:rsid w:val="00DD7422"/>
    <w:rsid w:val="00DE065E"/>
    <w:rsid w:val="00DE48DD"/>
    <w:rsid w:val="00DE49A6"/>
    <w:rsid w:val="00DE5924"/>
    <w:rsid w:val="00DE5BA2"/>
    <w:rsid w:val="00DE681D"/>
    <w:rsid w:val="00DE68C4"/>
    <w:rsid w:val="00DF091E"/>
    <w:rsid w:val="00DF31AC"/>
    <w:rsid w:val="00DF34F6"/>
    <w:rsid w:val="00DF4764"/>
    <w:rsid w:val="00DF50D3"/>
    <w:rsid w:val="00DF55E4"/>
    <w:rsid w:val="00DF56BC"/>
    <w:rsid w:val="00DF56FC"/>
    <w:rsid w:val="00DF6517"/>
    <w:rsid w:val="00E014FD"/>
    <w:rsid w:val="00E05EA5"/>
    <w:rsid w:val="00E06924"/>
    <w:rsid w:val="00E06E88"/>
    <w:rsid w:val="00E07596"/>
    <w:rsid w:val="00E07EFD"/>
    <w:rsid w:val="00E11222"/>
    <w:rsid w:val="00E16E31"/>
    <w:rsid w:val="00E178D7"/>
    <w:rsid w:val="00E17B33"/>
    <w:rsid w:val="00E2378E"/>
    <w:rsid w:val="00E242C9"/>
    <w:rsid w:val="00E24E3F"/>
    <w:rsid w:val="00E25559"/>
    <w:rsid w:val="00E32116"/>
    <w:rsid w:val="00E32169"/>
    <w:rsid w:val="00E339E5"/>
    <w:rsid w:val="00E33C6D"/>
    <w:rsid w:val="00E34046"/>
    <w:rsid w:val="00E352BC"/>
    <w:rsid w:val="00E40F6D"/>
    <w:rsid w:val="00E45F82"/>
    <w:rsid w:val="00E4680D"/>
    <w:rsid w:val="00E4786A"/>
    <w:rsid w:val="00E52129"/>
    <w:rsid w:val="00E54618"/>
    <w:rsid w:val="00E54A26"/>
    <w:rsid w:val="00E5791A"/>
    <w:rsid w:val="00E60532"/>
    <w:rsid w:val="00E619FC"/>
    <w:rsid w:val="00E61C68"/>
    <w:rsid w:val="00E66E47"/>
    <w:rsid w:val="00E70A52"/>
    <w:rsid w:val="00E7109A"/>
    <w:rsid w:val="00E72564"/>
    <w:rsid w:val="00E73F5F"/>
    <w:rsid w:val="00E765B3"/>
    <w:rsid w:val="00E7670A"/>
    <w:rsid w:val="00E76FD4"/>
    <w:rsid w:val="00E77F02"/>
    <w:rsid w:val="00E813F6"/>
    <w:rsid w:val="00E8192B"/>
    <w:rsid w:val="00E845CA"/>
    <w:rsid w:val="00E84F78"/>
    <w:rsid w:val="00E876FA"/>
    <w:rsid w:val="00E908C5"/>
    <w:rsid w:val="00E93249"/>
    <w:rsid w:val="00E94868"/>
    <w:rsid w:val="00E97152"/>
    <w:rsid w:val="00E973ED"/>
    <w:rsid w:val="00EA0DBA"/>
    <w:rsid w:val="00EA22FF"/>
    <w:rsid w:val="00EA31CF"/>
    <w:rsid w:val="00EA5569"/>
    <w:rsid w:val="00EA62CF"/>
    <w:rsid w:val="00EA65F2"/>
    <w:rsid w:val="00EB0406"/>
    <w:rsid w:val="00EB123C"/>
    <w:rsid w:val="00EB269A"/>
    <w:rsid w:val="00EB2BA8"/>
    <w:rsid w:val="00EB307F"/>
    <w:rsid w:val="00EB321B"/>
    <w:rsid w:val="00EB423E"/>
    <w:rsid w:val="00EB4A02"/>
    <w:rsid w:val="00EB4EE1"/>
    <w:rsid w:val="00EB67BF"/>
    <w:rsid w:val="00EC2D60"/>
    <w:rsid w:val="00EC2EE2"/>
    <w:rsid w:val="00EC56CF"/>
    <w:rsid w:val="00EC5E25"/>
    <w:rsid w:val="00EC60DE"/>
    <w:rsid w:val="00ED0586"/>
    <w:rsid w:val="00ED2CE8"/>
    <w:rsid w:val="00ED5F9C"/>
    <w:rsid w:val="00ED761C"/>
    <w:rsid w:val="00ED7A2C"/>
    <w:rsid w:val="00ED7E59"/>
    <w:rsid w:val="00EE04CF"/>
    <w:rsid w:val="00EE08CA"/>
    <w:rsid w:val="00EE0F2F"/>
    <w:rsid w:val="00EE278C"/>
    <w:rsid w:val="00EE4333"/>
    <w:rsid w:val="00EE4A61"/>
    <w:rsid w:val="00EE5054"/>
    <w:rsid w:val="00EE72B5"/>
    <w:rsid w:val="00EF160D"/>
    <w:rsid w:val="00EF3384"/>
    <w:rsid w:val="00F00D3A"/>
    <w:rsid w:val="00F01109"/>
    <w:rsid w:val="00F0147D"/>
    <w:rsid w:val="00F018E9"/>
    <w:rsid w:val="00F0304B"/>
    <w:rsid w:val="00F034E7"/>
    <w:rsid w:val="00F06F83"/>
    <w:rsid w:val="00F10FB5"/>
    <w:rsid w:val="00F125B2"/>
    <w:rsid w:val="00F1356C"/>
    <w:rsid w:val="00F14228"/>
    <w:rsid w:val="00F14923"/>
    <w:rsid w:val="00F14A60"/>
    <w:rsid w:val="00F14D4B"/>
    <w:rsid w:val="00F167EA"/>
    <w:rsid w:val="00F17AE0"/>
    <w:rsid w:val="00F206D2"/>
    <w:rsid w:val="00F232AC"/>
    <w:rsid w:val="00F2466B"/>
    <w:rsid w:val="00F26941"/>
    <w:rsid w:val="00F275FB"/>
    <w:rsid w:val="00F309F0"/>
    <w:rsid w:val="00F3138C"/>
    <w:rsid w:val="00F3143C"/>
    <w:rsid w:val="00F31F8F"/>
    <w:rsid w:val="00F337CB"/>
    <w:rsid w:val="00F35DAD"/>
    <w:rsid w:val="00F36E13"/>
    <w:rsid w:val="00F427B7"/>
    <w:rsid w:val="00F43262"/>
    <w:rsid w:val="00F45203"/>
    <w:rsid w:val="00F50899"/>
    <w:rsid w:val="00F50CC0"/>
    <w:rsid w:val="00F511CC"/>
    <w:rsid w:val="00F514B3"/>
    <w:rsid w:val="00F523C5"/>
    <w:rsid w:val="00F54906"/>
    <w:rsid w:val="00F55FBB"/>
    <w:rsid w:val="00F619C9"/>
    <w:rsid w:val="00F642A0"/>
    <w:rsid w:val="00F65194"/>
    <w:rsid w:val="00F66C95"/>
    <w:rsid w:val="00F66D49"/>
    <w:rsid w:val="00F66F80"/>
    <w:rsid w:val="00F67237"/>
    <w:rsid w:val="00F705AE"/>
    <w:rsid w:val="00F722D6"/>
    <w:rsid w:val="00F73678"/>
    <w:rsid w:val="00F76861"/>
    <w:rsid w:val="00F77F74"/>
    <w:rsid w:val="00F80024"/>
    <w:rsid w:val="00F81F15"/>
    <w:rsid w:val="00F8244A"/>
    <w:rsid w:val="00F869FD"/>
    <w:rsid w:val="00F919B4"/>
    <w:rsid w:val="00F91D6D"/>
    <w:rsid w:val="00F93EE0"/>
    <w:rsid w:val="00F95930"/>
    <w:rsid w:val="00F95946"/>
    <w:rsid w:val="00F95A88"/>
    <w:rsid w:val="00F96058"/>
    <w:rsid w:val="00F9652E"/>
    <w:rsid w:val="00F9729A"/>
    <w:rsid w:val="00F974C3"/>
    <w:rsid w:val="00FA37E9"/>
    <w:rsid w:val="00FA3925"/>
    <w:rsid w:val="00FA5B15"/>
    <w:rsid w:val="00FA5E5C"/>
    <w:rsid w:val="00FA62D6"/>
    <w:rsid w:val="00FB0081"/>
    <w:rsid w:val="00FB09E0"/>
    <w:rsid w:val="00FB346F"/>
    <w:rsid w:val="00FB3B15"/>
    <w:rsid w:val="00FB3CFF"/>
    <w:rsid w:val="00FB4796"/>
    <w:rsid w:val="00FB4E33"/>
    <w:rsid w:val="00FB7A2A"/>
    <w:rsid w:val="00FB7D34"/>
    <w:rsid w:val="00FC457B"/>
    <w:rsid w:val="00FC5571"/>
    <w:rsid w:val="00FC633A"/>
    <w:rsid w:val="00FD1134"/>
    <w:rsid w:val="00FD3141"/>
    <w:rsid w:val="00FD34EE"/>
    <w:rsid w:val="00FD4F7C"/>
    <w:rsid w:val="00FD58BB"/>
    <w:rsid w:val="00FD7FCD"/>
    <w:rsid w:val="00FE100E"/>
    <w:rsid w:val="00FF1139"/>
    <w:rsid w:val="00FF2CA5"/>
    <w:rsid w:val="00FF5100"/>
    <w:rsid w:val="00FF61D5"/>
    <w:rsid w:val="017F1D9B"/>
    <w:rsid w:val="027B50A2"/>
    <w:rsid w:val="02D648CB"/>
    <w:rsid w:val="03411C2F"/>
    <w:rsid w:val="034E7D7D"/>
    <w:rsid w:val="036E7363"/>
    <w:rsid w:val="037F27DB"/>
    <w:rsid w:val="04464FA9"/>
    <w:rsid w:val="046325B2"/>
    <w:rsid w:val="046C105B"/>
    <w:rsid w:val="047A045F"/>
    <w:rsid w:val="054B5287"/>
    <w:rsid w:val="05CA6F79"/>
    <w:rsid w:val="05CB4144"/>
    <w:rsid w:val="05E0215D"/>
    <w:rsid w:val="05E03A23"/>
    <w:rsid w:val="05FC4636"/>
    <w:rsid w:val="06101492"/>
    <w:rsid w:val="065D2842"/>
    <w:rsid w:val="06A908E0"/>
    <w:rsid w:val="06E12FDB"/>
    <w:rsid w:val="06E658BB"/>
    <w:rsid w:val="071A045E"/>
    <w:rsid w:val="074A355A"/>
    <w:rsid w:val="07D41C9D"/>
    <w:rsid w:val="07E810BC"/>
    <w:rsid w:val="08787804"/>
    <w:rsid w:val="08C45C93"/>
    <w:rsid w:val="093213F4"/>
    <w:rsid w:val="0968453D"/>
    <w:rsid w:val="09C513FB"/>
    <w:rsid w:val="0A656AA6"/>
    <w:rsid w:val="0A7624E0"/>
    <w:rsid w:val="0A842B68"/>
    <w:rsid w:val="0AE200CA"/>
    <w:rsid w:val="0B0C37A0"/>
    <w:rsid w:val="0B8D2BB3"/>
    <w:rsid w:val="0BA3396B"/>
    <w:rsid w:val="0BBB7341"/>
    <w:rsid w:val="0C0270C0"/>
    <w:rsid w:val="0D8D2200"/>
    <w:rsid w:val="0D9E1353"/>
    <w:rsid w:val="0DC8145C"/>
    <w:rsid w:val="0DF97DC0"/>
    <w:rsid w:val="0DFC2F84"/>
    <w:rsid w:val="0E436C6B"/>
    <w:rsid w:val="0F2A5F95"/>
    <w:rsid w:val="0FBD1E3B"/>
    <w:rsid w:val="10976437"/>
    <w:rsid w:val="11200690"/>
    <w:rsid w:val="11290372"/>
    <w:rsid w:val="115F0334"/>
    <w:rsid w:val="116A196F"/>
    <w:rsid w:val="11747772"/>
    <w:rsid w:val="11933471"/>
    <w:rsid w:val="11C72D59"/>
    <w:rsid w:val="13073205"/>
    <w:rsid w:val="138B16EE"/>
    <w:rsid w:val="13A40328"/>
    <w:rsid w:val="13D2555E"/>
    <w:rsid w:val="13E85675"/>
    <w:rsid w:val="145D4894"/>
    <w:rsid w:val="14A665C1"/>
    <w:rsid w:val="14BB2433"/>
    <w:rsid w:val="16051388"/>
    <w:rsid w:val="16680458"/>
    <w:rsid w:val="16721BCA"/>
    <w:rsid w:val="17A233B1"/>
    <w:rsid w:val="18017A40"/>
    <w:rsid w:val="1824618C"/>
    <w:rsid w:val="183353CE"/>
    <w:rsid w:val="18452BD0"/>
    <w:rsid w:val="18FA16C9"/>
    <w:rsid w:val="19414981"/>
    <w:rsid w:val="1A7C66C6"/>
    <w:rsid w:val="1BAB57F2"/>
    <w:rsid w:val="1C494418"/>
    <w:rsid w:val="1D26682B"/>
    <w:rsid w:val="1D40709B"/>
    <w:rsid w:val="1D5153FB"/>
    <w:rsid w:val="1D693B44"/>
    <w:rsid w:val="1DC34B01"/>
    <w:rsid w:val="1E34729E"/>
    <w:rsid w:val="1E4A7608"/>
    <w:rsid w:val="1E6279BA"/>
    <w:rsid w:val="1EB04E85"/>
    <w:rsid w:val="1EB94438"/>
    <w:rsid w:val="1ED16D03"/>
    <w:rsid w:val="1EE01B6B"/>
    <w:rsid w:val="1F2E379D"/>
    <w:rsid w:val="1F8709B8"/>
    <w:rsid w:val="20D3122F"/>
    <w:rsid w:val="20DB45C2"/>
    <w:rsid w:val="215E1C35"/>
    <w:rsid w:val="216C1717"/>
    <w:rsid w:val="222948FB"/>
    <w:rsid w:val="22EA647F"/>
    <w:rsid w:val="230E4324"/>
    <w:rsid w:val="236E7EB3"/>
    <w:rsid w:val="238071FA"/>
    <w:rsid w:val="24CA111B"/>
    <w:rsid w:val="25913740"/>
    <w:rsid w:val="259C34EC"/>
    <w:rsid w:val="25B309B5"/>
    <w:rsid w:val="25BF4624"/>
    <w:rsid w:val="25D83360"/>
    <w:rsid w:val="25DA418A"/>
    <w:rsid w:val="26F634CF"/>
    <w:rsid w:val="27703B70"/>
    <w:rsid w:val="278A214F"/>
    <w:rsid w:val="27FF0792"/>
    <w:rsid w:val="281B6A2E"/>
    <w:rsid w:val="2848587B"/>
    <w:rsid w:val="288B6DBB"/>
    <w:rsid w:val="292106F9"/>
    <w:rsid w:val="29612F2C"/>
    <w:rsid w:val="2A1744BA"/>
    <w:rsid w:val="2A98773E"/>
    <w:rsid w:val="2B6779BD"/>
    <w:rsid w:val="2CEF2D8B"/>
    <w:rsid w:val="2D110120"/>
    <w:rsid w:val="2D6C376E"/>
    <w:rsid w:val="2D6D4308"/>
    <w:rsid w:val="2D702936"/>
    <w:rsid w:val="2D775671"/>
    <w:rsid w:val="2D8503D3"/>
    <w:rsid w:val="2DB74EBD"/>
    <w:rsid w:val="2E4178DE"/>
    <w:rsid w:val="2ED742FC"/>
    <w:rsid w:val="2EF934CC"/>
    <w:rsid w:val="2F282080"/>
    <w:rsid w:val="2F662784"/>
    <w:rsid w:val="2FB71CD6"/>
    <w:rsid w:val="2FF17BDF"/>
    <w:rsid w:val="300569F0"/>
    <w:rsid w:val="30566B8E"/>
    <w:rsid w:val="30A46411"/>
    <w:rsid w:val="311D17B5"/>
    <w:rsid w:val="31D708B1"/>
    <w:rsid w:val="32105AAE"/>
    <w:rsid w:val="32256974"/>
    <w:rsid w:val="322B293F"/>
    <w:rsid w:val="32500E4F"/>
    <w:rsid w:val="32705739"/>
    <w:rsid w:val="32DB68CB"/>
    <w:rsid w:val="330F5D46"/>
    <w:rsid w:val="33146BD1"/>
    <w:rsid w:val="331561DC"/>
    <w:rsid w:val="33434073"/>
    <w:rsid w:val="3406222A"/>
    <w:rsid w:val="3532786B"/>
    <w:rsid w:val="353A56A0"/>
    <w:rsid w:val="363F3D9E"/>
    <w:rsid w:val="38260D5B"/>
    <w:rsid w:val="386D7EE3"/>
    <w:rsid w:val="388403BB"/>
    <w:rsid w:val="38B17419"/>
    <w:rsid w:val="38B822F6"/>
    <w:rsid w:val="38DD7AB9"/>
    <w:rsid w:val="39B53E89"/>
    <w:rsid w:val="39C0532F"/>
    <w:rsid w:val="39E63FF5"/>
    <w:rsid w:val="3A0D3C00"/>
    <w:rsid w:val="3A1C2E1C"/>
    <w:rsid w:val="3AD362C3"/>
    <w:rsid w:val="3BCC6079"/>
    <w:rsid w:val="3BD93E44"/>
    <w:rsid w:val="3BDE63FA"/>
    <w:rsid w:val="3E331887"/>
    <w:rsid w:val="3E592717"/>
    <w:rsid w:val="3E9B3C69"/>
    <w:rsid w:val="3EE73A68"/>
    <w:rsid w:val="3F7E096C"/>
    <w:rsid w:val="404C1794"/>
    <w:rsid w:val="40AA5DAB"/>
    <w:rsid w:val="420D4C96"/>
    <w:rsid w:val="426B5FB9"/>
    <w:rsid w:val="42B50355"/>
    <w:rsid w:val="42D2192D"/>
    <w:rsid w:val="4314779B"/>
    <w:rsid w:val="43F548D7"/>
    <w:rsid w:val="45427383"/>
    <w:rsid w:val="45614EA9"/>
    <w:rsid w:val="4587239A"/>
    <w:rsid w:val="45A60803"/>
    <w:rsid w:val="45B25027"/>
    <w:rsid w:val="45E431B5"/>
    <w:rsid w:val="45EE4EED"/>
    <w:rsid w:val="46671FE8"/>
    <w:rsid w:val="46B90D9F"/>
    <w:rsid w:val="4722783D"/>
    <w:rsid w:val="47A847AC"/>
    <w:rsid w:val="492447B6"/>
    <w:rsid w:val="49E71CA6"/>
    <w:rsid w:val="4A0C3984"/>
    <w:rsid w:val="4A5C4958"/>
    <w:rsid w:val="4A925850"/>
    <w:rsid w:val="4AD915EA"/>
    <w:rsid w:val="4ADF609F"/>
    <w:rsid w:val="4B503D34"/>
    <w:rsid w:val="4BD1231A"/>
    <w:rsid w:val="4C6249F7"/>
    <w:rsid w:val="4D202092"/>
    <w:rsid w:val="4DB50E98"/>
    <w:rsid w:val="4E143AE7"/>
    <w:rsid w:val="4E287712"/>
    <w:rsid w:val="4EEA361D"/>
    <w:rsid w:val="4F386CAD"/>
    <w:rsid w:val="4F3E4268"/>
    <w:rsid w:val="4F4E1FA4"/>
    <w:rsid w:val="4F645754"/>
    <w:rsid w:val="4FA86347"/>
    <w:rsid w:val="4FAF10D0"/>
    <w:rsid w:val="51A22256"/>
    <w:rsid w:val="51A704F2"/>
    <w:rsid w:val="52443E6B"/>
    <w:rsid w:val="52A0740C"/>
    <w:rsid w:val="52B0265B"/>
    <w:rsid w:val="52B57130"/>
    <w:rsid w:val="53053FA8"/>
    <w:rsid w:val="530A5FBE"/>
    <w:rsid w:val="532B2E35"/>
    <w:rsid w:val="53615985"/>
    <w:rsid w:val="53FA3E2D"/>
    <w:rsid w:val="54A9299D"/>
    <w:rsid w:val="551E7051"/>
    <w:rsid w:val="555A1937"/>
    <w:rsid w:val="55672A23"/>
    <w:rsid w:val="55D76A8D"/>
    <w:rsid w:val="56842BD7"/>
    <w:rsid w:val="56AD02A2"/>
    <w:rsid w:val="56AD4AD8"/>
    <w:rsid w:val="56FD6E3C"/>
    <w:rsid w:val="57367D2D"/>
    <w:rsid w:val="574F70FA"/>
    <w:rsid w:val="57855503"/>
    <w:rsid w:val="57EB5F3A"/>
    <w:rsid w:val="58122448"/>
    <w:rsid w:val="5932119A"/>
    <w:rsid w:val="596900DF"/>
    <w:rsid w:val="5A0C11E9"/>
    <w:rsid w:val="5A2D05B8"/>
    <w:rsid w:val="5AB23272"/>
    <w:rsid w:val="5AB943BD"/>
    <w:rsid w:val="5B017ADE"/>
    <w:rsid w:val="5B9B6976"/>
    <w:rsid w:val="5C05569B"/>
    <w:rsid w:val="5C8D5AB4"/>
    <w:rsid w:val="5E2F4D15"/>
    <w:rsid w:val="5EBA24A4"/>
    <w:rsid w:val="5F01091A"/>
    <w:rsid w:val="5F9C3079"/>
    <w:rsid w:val="5FE038B0"/>
    <w:rsid w:val="60B00553"/>
    <w:rsid w:val="60FD574B"/>
    <w:rsid w:val="61197FE5"/>
    <w:rsid w:val="62B86A33"/>
    <w:rsid w:val="62D94BA5"/>
    <w:rsid w:val="63B016E0"/>
    <w:rsid w:val="64040F23"/>
    <w:rsid w:val="6405109C"/>
    <w:rsid w:val="642A7B27"/>
    <w:rsid w:val="64CC04D6"/>
    <w:rsid w:val="64DA0314"/>
    <w:rsid w:val="64DA5B3B"/>
    <w:rsid w:val="650A319B"/>
    <w:rsid w:val="656B7F1A"/>
    <w:rsid w:val="65D0528B"/>
    <w:rsid w:val="6604370E"/>
    <w:rsid w:val="66DB2803"/>
    <w:rsid w:val="674B12C5"/>
    <w:rsid w:val="67547F6E"/>
    <w:rsid w:val="679A47B4"/>
    <w:rsid w:val="67C7536D"/>
    <w:rsid w:val="681E3F4A"/>
    <w:rsid w:val="68254B10"/>
    <w:rsid w:val="685323FF"/>
    <w:rsid w:val="68AD1EB3"/>
    <w:rsid w:val="68BA4630"/>
    <w:rsid w:val="68C97B45"/>
    <w:rsid w:val="691377A6"/>
    <w:rsid w:val="694D1F42"/>
    <w:rsid w:val="69E64DA3"/>
    <w:rsid w:val="69E81998"/>
    <w:rsid w:val="6A0A7AD8"/>
    <w:rsid w:val="6A125F8F"/>
    <w:rsid w:val="6A363090"/>
    <w:rsid w:val="6AB03A20"/>
    <w:rsid w:val="6B291B8D"/>
    <w:rsid w:val="6B401F05"/>
    <w:rsid w:val="6C106AE2"/>
    <w:rsid w:val="6CC84346"/>
    <w:rsid w:val="6CC86DD6"/>
    <w:rsid w:val="6D0A1896"/>
    <w:rsid w:val="6D2C4E15"/>
    <w:rsid w:val="6D47102E"/>
    <w:rsid w:val="6D5B2942"/>
    <w:rsid w:val="6E1047D9"/>
    <w:rsid w:val="6E174A94"/>
    <w:rsid w:val="6E231FEA"/>
    <w:rsid w:val="6E3D2072"/>
    <w:rsid w:val="6E6B724A"/>
    <w:rsid w:val="6EB8000B"/>
    <w:rsid w:val="6F4A71CF"/>
    <w:rsid w:val="717A6CF3"/>
    <w:rsid w:val="72247DE7"/>
    <w:rsid w:val="72DE0BC0"/>
    <w:rsid w:val="733B388F"/>
    <w:rsid w:val="744A0486"/>
    <w:rsid w:val="7471526F"/>
    <w:rsid w:val="749405E5"/>
    <w:rsid w:val="75B90E80"/>
    <w:rsid w:val="760D6446"/>
    <w:rsid w:val="76177DFA"/>
    <w:rsid w:val="763B0B88"/>
    <w:rsid w:val="76A244C4"/>
    <w:rsid w:val="76D17CD4"/>
    <w:rsid w:val="76E265C7"/>
    <w:rsid w:val="76FA759D"/>
    <w:rsid w:val="77244D67"/>
    <w:rsid w:val="77310C0E"/>
    <w:rsid w:val="775F53EF"/>
    <w:rsid w:val="77BF69A7"/>
    <w:rsid w:val="77E371FA"/>
    <w:rsid w:val="789D1676"/>
    <w:rsid w:val="78E05F47"/>
    <w:rsid w:val="797D2ECA"/>
    <w:rsid w:val="79FE264D"/>
    <w:rsid w:val="79FF231E"/>
    <w:rsid w:val="7B5408E3"/>
    <w:rsid w:val="7C3828E7"/>
    <w:rsid w:val="7C392DCB"/>
    <w:rsid w:val="7C5F7281"/>
    <w:rsid w:val="7C7D6821"/>
    <w:rsid w:val="7C933574"/>
    <w:rsid w:val="7CAE062E"/>
    <w:rsid w:val="7CE243C1"/>
    <w:rsid w:val="7D0B4650"/>
    <w:rsid w:val="7D36327B"/>
    <w:rsid w:val="7D661634"/>
    <w:rsid w:val="7EFA580A"/>
    <w:rsid w:val="7F6427DA"/>
    <w:rsid w:val="7F841B4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sdException w:qFormat="1" w:unhideWhenUsed="0" w:uiPriority="39" w:semiHidden="0" w:name="toc 2"/>
    <w:lsdException w:qFormat="1" w:unhideWhenUsed="0" w:uiPriority="99" w:semiHidden="0" w:name="toc 3"/>
    <w:lsdException w:qFormat="1" w:unhideWhenUsed="0" w:uiPriority="99" w:semiHidden="0" w:name="toc 4"/>
    <w:lsdException w:qFormat="1" w:unhideWhenUsed="0" w:uiPriority="99" w:semiHidden="0" w:name="toc 5"/>
    <w:lsdException w:qFormat="1" w:unhideWhenUsed="0" w:uiPriority="99" w:semiHidden="0" w:name="toc 6"/>
    <w:lsdException w:qFormat="1" w:unhideWhenUsed="0" w:uiPriority="99" w:semiHidden="0" w:name="toc 7"/>
    <w:lsdException w:qFormat="1" w:unhideWhenUsed="0" w:uiPriority="99" w:semiHidden="0" w:name="toc 8"/>
    <w:lsdException w:qFormat="1" w:unhideWhenUsed="0" w:uiPriority="99" w:semiHidden="0" w:name="toc 9"/>
    <w:lsdException w:uiPriority="99" w:name="Normal Indent" w:locked="1"/>
    <w:lsdException w:qFormat="1" w:unhideWhenUsed="0" w:uiPriority="99" w:semiHidden="0"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qFormat="1" w:unhideWhenUsed="0" w:uiPriority="99" w:semiHidden="0" w:name="footnote reference"/>
    <w:lsdException w:qFormat="1" w:unhideWhenUsed="0" w:uiPriority="99"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semiHidden="0" w:name="Default Paragraph Font"/>
    <w:lsdException w:qFormat="1" w:unhideWhenUsed="0" w:uiPriority="99" w:semiHidden="0"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name="FollowedHyperlink"/>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nhideWhenUsed="0" w:uiPriority="99" w:semiHidden="0" w:name="Table Subtle 1" w:locked="1"/>
    <w:lsdException w:uiPriority="99" w:name="Table Subtle 2" w:locked="1"/>
    <w:lsdException w:uiPriority="99" w:name="Table Web 1" w:locked="1"/>
    <w:lsdException w:unhideWhenUsed="0" w:uiPriority="99" w:semiHidden="0" w:name="Table Web 2" w:locked="1"/>
    <w:lsdException w:unhideWhenUsed="0" w:uiPriority="99" w:semiHidden="0" w:name="Table Web 3" w:locked="1"/>
    <w:lsdException w:qFormat="1" w:unhideWhenUsed="0" w:uiPriority="99" w:name="Balloon Text"/>
    <w:lsdException w:qFormat="1" w:unhideWhenUsed="0" w:uiPriority="3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仿宋_GB2312" w:cs="Times New Roman"/>
      <w:kern w:val="2"/>
      <w:sz w:val="30"/>
      <w:szCs w:val="21"/>
      <w:lang w:val="en-US" w:eastAsia="zh-CN" w:bidi="ar-SA"/>
    </w:rPr>
  </w:style>
  <w:style w:type="paragraph" w:styleId="3">
    <w:name w:val="heading 1"/>
    <w:basedOn w:val="1"/>
    <w:next w:val="1"/>
    <w:link w:val="31"/>
    <w:qFormat/>
    <w:uiPriority w:val="99"/>
    <w:pPr>
      <w:keepNext/>
      <w:keepLines/>
      <w:spacing w:line="240" w:lineRule="auto"/>
      <w:ind w:firstLine="0" w:firstLineChars="0"/>
      <w:jc w:val="center"/>
      <w:outlineLvl w:val="0"/>
    </w:pPr>
    <w:rPr>
      <w:rFonts w:eastAsia="宋体"/>
      <w:b/>
      <w:bCs/>
      <w:kern w:val="44"/>
      <w:szCs w:val="44"/>
    </w:rPr>
  </w:style>
  <w:style w:type="paragraph" w:styleId="4">
    <w:name w:val="heading 2"/>
    <w:basedOn w:val="1"/>
    <w:next w:val="1"/>
    <w:link w:val="32"/>
    <w:qFormat/>
    <w:uiPriority w:val="99"/>
    <w:pPr>
      <w:keepNext/>
      <w:keepLines/>
      <w:adjustRightInd w:val="0"/>
      <w:spacing w:beforeLines="10" w:afterLines="10"/>
      <w:jc w:val="center"/>
      <w:outlineLvl w:val="1"/>
    </w:pPr>
    <w:rPr>
      <w:b/>
      <w:bCs/>
      <w:szCs w:val="32"/>
    </w:rPr>
  </w:style>
  <w:style w:type="paragraph" w:styleId="5">
    <w:name w:val="heading 3"/>
    <w:basedOn w:val="1"/>
    <w:next w:val="1"/>
    <w:link w:val="33"/>
    <w:qFormat/>
    <w:uiPriority w:val="99"/>
    <w:pPr>
      <w:keepNext/>
      <w:keepLines/>
      <w:outlineLvl w:val="2"/>
    </w:pPr>
    <w:rPr>
      <w:b/>
      <w:bCs/>
      <w:szCs w:val="32"/>
    </w:rPr>
  </w:style>
  <w:style w:type="paragraph" w:styleId="6">
    <w:name w:val="heading 4"/>
    <w:basedOn w:val="1"/>
    <w:next w:val="1"/>
    <w:link w:val="34"/>
    <w:qFormat/>
    <w:uiPriority w:val="99"/>
    <w:pPr>
      <w:keepNext/>
      <w:keepLines/>
      <w:spacing w:line="240" w:lineRule="auto"/>
      <w:outlineLvl w:val="3"/>
    </w:pPr>
    <w:rPr>
      <w:b/>
      <w:bCs/>
      <w:szCs w:val="28"/>
    </w:rPr>
  </w:style>
  <w:style w:type="paragraph" w:styleId="7">
    <w:name w:val="heading 5"/>
    <w:basedOn w:val="1"/>
    <w:next w:val="1"/>
    <w:link w:val="35"/>
    <w:qFormat/>
    <w:uiPriority w:val="99"/>
    <w:pPr>
      <w:keepNext/>
      <w:keepLines/>
      <w:spacing w:before="280" w:after="290" w:line="376" w:lineRule="auto"/>
      <w:outlineLvl w:val="4"/>
    </w:pPr>
    <w:rPr>
      <w:b/>
      <w:bCs/>
      <w:sz w:val="28"/>
      <w:szCs w:val="28"/>
    </w:rPr>
  </w:style>
  <w:style w:type="character" w:default="1" w:styleId="25">
    <w:name w:val="Default Paragraph Font"/>
    <w:unhideWhenUsed/>
    <w:qFormat/>
    <w:uiPriority w:val="1"/>
  </w:style>
  <w:style w:type="table" w:default="1" w:styleId="23">
    <w:name w:val="Normal Table"/>
    <w:unhideWhenUsed/>
    <w:qFormat/>
    <w:uiPriority w:val="99"/>
    <w:tblPr>
      <w:tblCellMar>
        <w:top w:w="0" w:type="dxa"/>
        <w:left w:w="108" w:type="dxa"/>
        <w:bottom w:w="0" w:type="dxa"/>
        <w:right w:w="108" w:type="dxa"/>
      </w:tblCellMar>
    </w:tblPr>
  </w:style>
  <w:style w:type="paragraph" w:styleId="2">
    <w:name w:val="Body Text"/>
    <w:basedOn w:val="1"/>
    <w:next w:val="1"/>
    <w:link w:val="37"/>
    <w:qFormat/>
    <w:locked/>
    <w:uiPriority w:val="99"/>
    <w:pPr>
      <w:adjustRightInd w:val="0"/>
      <w:snapToGrid w:val="0"/>
      <w:spacing w:line="600" w:lineRule="exact"/>
    </w:pPr>
    <w:rPr>
      <w:sz w:val="32"/>
      <w:szCs w:val="32"/>
    </w:rPr>
  </w:style>
  <w:style w:type="paragraph" w:styleId="8">
    <w:name w:val="toc 7"/>
    <w:basedOn w:val="1"/>
    <w:next w:val="1"/>
    <w:qFormat/>
    <w:uiPriority w:val="99"/>
    <w:pPr>
      <w:spacing w:line="240" w:lineRule="auto"/>
      <w:ind w:left="2520" w:leftChars="1200" w:firstLine="0" w:firstLineChars="0"/>
    </w:pPr>
    <w:rPr>
      <w:rFonts w:ascii="等线" w:hAnsi="等线" w:eastAsia="等线"/>
      <w:sz w:val="21"/>
      <w:szCs w:val="22"/>
    </w:rPr>
  </w:style>
  <w:style w:type="paragraph" w:styleId="9">
    <w:name w:val="annotation text"/>
    <w:basedOn w:val="1"/>
    <w:link w:val="36"/>
    <w:semiHidden/>
    <w:qFormat/>
    <w:uiPriority w:val="99"/>
    <w:pPr>
      <w:jc w:val="left"/>
    </w:pPr>
  </w:style>
  <w:style w:type="paragraph" w:styleId="10">
    <w:name w:val="toc 5"/>
    <w:basedOn w:val="1"/>
    <w:next w:val="1"/>
    <w:qFormat/>
    <w:uiPriority w:val="99"/>
    <w:pPr>
      <w:spacing w:line="240" w:lineRule="auto"/>
      <w:ind w:left="1680" w:leftChars="800" w:firstLine="0" w:firstLineChars="0"/>
    </w:pPr>
    <w:rPr>
      <w:rFonts w:ascii="等线" w:hAnsi="等线" w:eastAsia="等线"/>
      <w:sz w:val="21"/>
      <w:szCs w:val="22"/>
    </w:rPr>
  </w:style>
  <w:style w:type="paragraph" w:styleId="11">
    <w:name w:val="toc 3"/>
    <w:basedOn w:val="1"/>
    <w:next w:val="1"/>
    <w:qFormat/>
    <w:uiPriority w:val="99"/>
    <w:pPr>
      <w:ind w:left="840" w:leftChars="400"/>
    </w:pPr>
  </w:style>
  <w:style w:type="paragraph" w:styleId="12">
    <w:name w:val="toc 8"/>
    <w:basedOn w:val="1"/>
    <w:next w:val="1"/>
    <w:qFormat/>
    <w:uiPriority w:val="99"/>
    <w:pPr>
      <w:spacing w:line="240" w:lineRule="auto"/>
      <w:ind w:left="2940" w:leftChars="1400" w:firstLine="0" w:firstLineChars="0"/>
    </w:pPr>
    <w:rPr>
      <w:rFonts w:ascii="等线" w:hAnsi="等线" w:eastAsia="等线"/>
      <w:sz w:val="21"/>
      <w:szCs w:val="22"/>
    </w:rPr>
  </w:style>
  <w:style w:type="paragraph" w:styleId="13">
    <w:name w:val="Balloon Text"/>
    <w:basedOn w:val="1"/>
    <w:link w:val="38"/>
    <w:semiHidden/>
    <w:qFormat/>
    <w:uiPriority w:val="99"/>
    <w:pPr>
      <w:spacing w:line="240" w:lineRule="auto"/>
    </w:pPr>
    <w:rPr>
      <w:sz w:val="18"/>
      <w:szCs w:val="18"/>
    </w:rPr>
  </w:style>
  <w:style w:type="paragraph" w:styleId="14">
    <w:name w:val="footer"/>
    <w:basedOn w:val="1"/>
    <w:link w:val="39"/>
    <w:qFormat/>
    <w:uiPriority w:val="99"/>
    <w:pPr>
      <w:tabs>
        <w:tab w:val="center" w:pos="4153"/>
        <w:tab w:val="right" w:pos="8306"/>
      </w:tabs>
      <w:snapToGrid w:val="0"/>
      <w:spacing w:line="240" w:lineRule="auto"/>
      <w:ind w:firstLine="0" w:firstLineChars="0"/>
      <w:jc w:val="left"/>
    </w:pPr>
    <w:rPr>
      <w:rFonts w:ascii="等线" w:hAnsi="等线" w:eastAsia="等线"/>
      <w:sz w:val="18"/>
      <w:szCs w:val="18"/>
    </w:rPr>
  </w:style>
  <w:style w:type="paragraph" w:styleId="15">
    <w:name w:val="header"/>
    <w:basedOn w:val="1"/>
    <w:link w:val="40"/>
    <w:qFormat/>
    <w:uiPriority w:val="99"/>
    <w:pPr>
      <w:pBdr>
        <w:bottom w:val="single" w:color="auto" w:sz="6" w:space="1"/>
      </w:pBdr>
      <w:tabs>
        <w:tab w:val="center" w:pos="4153"/>
        <w:tab w:val="right" w:pos="8306"/>
      </w:tabs>
      <w:snapToGrid w:val="0"/>
      <w:spacing w:line="240" w:lineRule="auto"/>
      <w:ind w:firstLine="0" w:firstLineChars="0"/>
      <w:jc w:val="center"/>
    </w:pPr>
    <w:rPr>
      <w:rFonts w:ascii="等线" w:hAnsi="等线" w:eastAsia="等线"/>
      <w:sz w:val="18"/>
      <w:szCs w:val="18"/>
    </w:rPr>
  </w:style>
  <w:style w:type="paragraph" w:styleId="16">
    <w:name w:val="toc 1"/>
    <w:basedOn w:val="1"/>
    <w:next w:val="1"/>
    <w:qFormat/>
    <w:uiPriority w:val="39"/>
    <w:pPr>
      <w:spacing w:beforeLines="25" w:afterLines="25" w:line="240" w:lineRule="auto"/>
      <w:ind w:firstLine="100" w:firstLineChars="100"/>
    </w:pPr>
    <w:rPr>
      <w:rFonts w:eastAsia="黑体"/>
      <w:b/>
    </w:rPr>
  </w:style>
  <w:style w:type="paragraph" w:styleId="17">
    <w:name w:val="toc 4"/>
    <w:basedOn w:val="1"/>
    <w:next w:val="1"/>
    <w:qFormat/>
    <w:uiPriority w:val="99"/>
    <w:pPr>
      <w:spacing w:line="240" w:lineRule="auto"/>
      <w:ind w:left="1260" w:leftChars="600" w:firstLine="0" w:firstLineChars="0"/>
    </w:pPr>
    <w:rPr>
      <w:rFonts w:ascii="等线" w:hAnsi="等线" w:eastAsia="等线"/>
      <w:sz w:val="21"/>
      <w:szCs w:val="22"/>
    </w:rPr>
  </w:style>
  <w:style w:type="paragraph" w:styleId="18">
    <w:name w:val="footnote text"/>
    <w:basedOn w:val="1"/>
    <w:link w:val="41"/>
    <w:qFormat/>
    <w:uiPriority w:val="99"/>
    <w:pPr>
      <w:snapToGrid w:val="0"/>
      <w:spacing w:line="560" w:lineRule="exact"/>
      <w:ind w:firstLine="723"/>
      <w:jc w:val="left"/>
    </w:pPr>
    <w:rPr>
      <w:rFonts w:ascii="等线" w:hAnsi="等线"/>
      <w:sz w:val="18"/>
      <w:szCs w:val="22"/>
    </w:rPr>
  </w:style>
  <w:style w:type="paragraph" w:styleId="19">
    <w:name w:val="toc 6"/>
    <w:basedOn w:val="1"/>
    <w:next w:val="1"/>
    <w:qFormat/>
    <w:uiPriority w:val="99"/>
    <w:pPr>
      <w:spacing w:line="240" w:lineRule="auto"/>
      <w:ind w:left="2100" w:leftChars="1000" w:firstLine="0" w:firstLineChars="0"/>
    </w:pPr>
    <w:rPr>
      <w:rFonts w:ascii="等线" w:hAnsi="等线" w:eastAsia="等线"/>
      <w:sz w:val="21"/>
      <w:szCs w:val="22"/>
    </w:rPr>
  </w:style>
  <w:style w:type="paragraph" w:styleId="20">
    <w:name w:val="toc 2"/>
    <w:basedOn w:val="1"/>
    <w:next w:val="1"/>
    <w:qFormat/>
    <w:uiPriority w:val="39"/>
    <w:pPr>
      <w:tabs>
        <w:tab w:val="right" w:leader="dot" w:pos="8296"/>
      </w:tabs>
      <w:spacing w:beforeLines="15" w:afterLines="15" w:line="240" w:lineRule="auto"/>
      <w:ind w:left="200" w:leftChars="200" w:firstLine="100" w:firstLineChars="100"/>
    </w:pPr>
    <w:rPr>
      <w:rFonts w:ascii="仿宋_GB2312" w:hAnsi="等线 Light" w:eastAsia="楷体"/>
    </w:rPr>
  </w:style>
  <w:style w:type="paragraph" w:styleId="21">
    <w:name w:val="toc 9"/>
    <w:basedOn w:val="1"/>
    <w:next w:val="1"/>
    <w:qFormat/>
    <w:uiPriority w:val="99"/>
    <w:pPr>
      <w:spacing w:line="240" w:lineRule="auto"/>
      <w:ind w:left="3360" w:leftChars="1600" w:firstLine="0" w:firstLineChars="0"/>
    </w:pPr>
    <w:rPr>
      <w:rFonts w:ascii="等线" w:hAnsi="等线" w:eastAsia="等线"/>
      <w:sz w:val="21"/>
      <w:szCs w:val="22"/>
    </w:rPr>
  </w:style>
  <w:style w:type="paragraph" w:styleId="22">
    <w:name w:val="annotation subject"/>
    <w:basedOn w:val="9"/>
    <w:next w:val="9"/>
    <w:link w:val="42"/>
    <w:semiHidden/>
    <w:qFormat/>
    <w:uiPriority w:val="99"/>
    <w:rPr>
      <w:b/>
      <w:bCs/>
    </w:rPr>
  </w:style>
  <w:style w:type="table" w:styleId="24">
    <w:name w:val="Table Grid"/>
    <w:basedOn w:val="2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locked/>
    <w:uiPriority w:val="22"/>
    <w:rPr>
      <w:b/>
    </w:rPr>
  </w:style>
  <w:style w:type="character" w:styleId="27">
    <w:name w:val="FollowedHyperlink"/>
    <w:basedOn w:val="25"/>
    <w:semiHidden/>
    <w:qFormat/>
    <w:uiPriority w:val="99"/>
    <w:rPr>
      <w:rFonts w:cs="Times New Roman"/>
      <w:color w:val="954F72"/>
      <w:u w:val="single"/>
    </w:rPr>
  </w:style>
  <w:style w:type="character" w:styleId="28">
    <w:name w:val="Hyperlink"/>
    <w:basedOn w:val="25"/>
    <w:qFormat/>
    <w:uiPriority w:val="99"/>
    <w:rPr>
      <w:rFonts w:cs="Times New Roman"/>
      <w:color w:val="0563C1"/>
      <w:u w:val="single"/>
    </w:rPr>
  </w:style>
  <w:style w:type="character" w:styleId="29">
    <w:name w:val="annotation reference"/>
    <w:basedOn w:val="25"/>
    <w:semiHidden/>
    <w:qFormat/>
    <w:uiPriority w:val="99"/>
    <w:rPr>
      <w:rFonts w:cs="Times New Roman"/>
      <w:sz w:val="21"/>
      <w:szCs w:val="21"/>
    </w:rPr>
  </w:style>
  <w:style w:type="character" w:styleId="30">
    <w:name w:val="footnote reference"/>
    <w:basedOn w:val="25"/>
    <w:qFormat/>
    <w:uiPriority w:val="99"/>
    <w:rPr>
      <w:rFonts w:cs="Times New Roman"/>
      <w:vertAlign w:val="superscript"/>
    </w:rPr>
  </w:style>
  <w:style w:type="character" w:customStyle="1" w:styleId="31">
    <w:name w:val="标题 1 字符1"/>
    <w:basedOn w:val="25"/>
    <w:link w:val="3"/>
    <w:qFormat/>
    <w:locked/>
    <w:uiPriority w:val="99"/>
    <w:rPr>
      <w:rFonts w:ascii="Times New Roman" w:hAnsi="Times New Roman" w:eastAsia="宋体" w:cs="Times New Roman"/>
      <w:b/>
      <w:bCs/>
      <w:kern w:val="44"/>
      <w:sz w:val="44"/>
      <w:szCs w:val="44"/>
    </w:rPr>
  </w:style>
  <w:style w:type="character" w:customStyle="1" w:styleId="32">
    <w:name w:val="标题 2 字符"/>
    <w:basedOn w:val="25"/>
    <w:link w:val="4"/>
    <w:qFormat/>
    <w:locked/>
    <w:uiPriority w:val="99"/>
    <w:rPr>
      <w:rFonts w:ascii="Times New Roman" w:hAnsi="Times New Roman" w:eastAsia="仿宋_GB2312" w:cs="Times New Roman"/>
      <w:b/>
      <w:bCs/>
      <w:sz w:val="32"/>
      <w:szCs w:val="32"/>
    </w:rPr>
  </w:style>
  <w:style w:type="character" w:customStyle="1" w:styleId="33">
    <w:name w:val="标题 3 字符1"/>
    <w:basedOn w:val="25"/>
    <w:link w:val="5"/>
    <w:qFormat/>
    <w:locked/>
    <w:uiPriority w:val="99"/>
    <w:rPr>
      <w:rFonts w:ascii="Times New Roman" w:hAnsi="Times New Roman" w:eastAsia="仿宋_GB2312" w:cs="Times New Roman"/>
      <w:b/>
      <w:bCs/>
      <w:sz w:val="32"/>
      <w:szCs w:val="32"/>
    </w:rPr>
  </w:style>
  <w:style w:type="character" w:customStyle="1" w:styleId="34">
    <w:name w:val="标题 4 字符"/>
    <w:basedOn w:val="25"/>
    <w:link w:val="6"/>
    <w:qFormat/>
    <w:locked/>
    <w:uiPriority w:val="99"/>
    <w:rPr>
      <w:rFonts w:ascii="Times New Roman" w:hAnsi="Times New Roman" w:eastAsia="仿宋_GB2312" w:cs="Times New Roman"/>
      <w:b/>
      <w:bCs/>
      <w:sz w:val="28"/>
      <w:szCs w:val="28"/>
    </w:rPr>
  </w:style>
  <w:style w:type="character" w:customStyle="1" w:styleId="35">
    <w:name w:val="标题 5 字符"/>
    <w:basedOn w:val="25"/>
    <w:link w:val="7"/>
    <w:qFormat/>
    <w:locked/>
    <w:uiPriority w:val="99"/>
    <w:rPr>
      <w:rFonts w:ascii="Times New Roman" w:hAnsi="Times New Roman" w:eastAsia="仿宋_GB2312" w:cs="Times New Roman"/>
      <w:b/>
      <w:bCs/>
      <w:sz w:val="28"/>
      <w:szCs w:val="28"/>
    </w:rPr>
  </w:style>
  <w:style w:type="character" w:customStyle="1" w:styleId="36">
    <w:name w:val="批注文字 字符"/>
    <w:basedOn w:val="25"/>
    <w:link w:val="9"/>
    <w:semiHidden/>
    <w:qFormat/>
    <w:locked/>
    <w:uiPriority w:val="99"/>
    <w:rPr>
      <w:rFonts w:ascii="Times New Roman" w:hAnsi="Times New Roman" w:eastAsia="仿宋_GB2312" w:cs="Times New Roman"/>
      <w:sz w:val="21"/>
      <w:szCs w:val="21"/>
    </w:rPr>
  </w:style>
  <w:style w:type="character" w:customStyle="1" w:styleId="37">
    <w:name w:val="正文文本 字符"/>
    <w:basedOn w:val="25"/>
    <w:link w:val="2"/>
    <w:semiHidden/>
    <w:qFormat/>
    <w:locked/>
    <w:uiPriority w:val="99"/>
    <w:rPr>
      <w:rFonts w:ascii="Times New Roman" w:hAnsi="Times New Roman" w:eastAsia="仿宋_GB2312" w:cs="Times New Roman"/>
      <w:sz w:val="21"/>
      <w:szCs w:val="21"/>
    </w:rPr>
  </w:style>
  <w:style w:type="character" w:customStyle="1" w:styleId="38">
    <w:name w:val="批注框文本 字符"/>
    <w:basedOn w:val="25"/>
    <w:link w:val="13"/>
    <w:semiHidden/>
    <w:qFormat/>
    <w:locked/>
    <w:uiPriority w:val="99"/>
    <w:rPr>
      <w:rFonts w:ascii="Times New Roman" w:hAnsi="Times New Roman" w:eastAsia="仿宋_GB2312" w:cs="Times New Roman"/>
      <w:sz w:val="18"/>
      <w:szCs w:val="18"/>
    </w:rPr>
  </w:style>
  <w:style w:type="character" w:customStyle="1" w:styleId="39">
    <w:name w:val="页脚 字符"/>
    <w:basedOn w:val="25"/>
    <w:link w:val="14"/>
    <w:qFormat/>
    <w:locked/>
    <w:uiPriority w:val="99"/>
    <w:rPr>
      <w:rFonts w:cs="Times New Roman"/>
      <w:sz w:val="18"/>
      <w:szCs w:val="18"/>
    </w:rPr>
  </w:style>
  <w:style w:type="character" w:customStyle="1" w:styleId="40">
    <w:name w:val="页眉 字符"/>
    <w:basedOn w:val="25"/>
    <w:link w:val="15"/>
    <w:qFormat/>
    <w:locked/>
    <w:uiPriority w:val="99"/>
    <w:rPr>
      <w:rFonts w:cs="Times New Roman"/>
      <w:sz w:val="18"/>
      <w:szCs w:val="18"/>
    </w:rPr>
  </w:style>
  <w:style w:type="character" w:customStyle="1" w:styleId="41">
    <w:name w:val="脚注文本 字符"/>
    <w:basedOn w:val="25"/>
    <w:link w:val="18"/>
    <w:qFormat/>
    <w:locked/>
    <w:uiPriority w:val="99"/>
    <w:rPr>
      <w:rFonts w:eastAsia="仿宋_GB2312" w:cs="Times New Roman"/>
      <w:kern w:val="2"/>
      <w:sz w:val="22"/>
      <w:szCs w:val="22"/>
    </w:rPr>
  </w:style>
  <w:style w:type="character" w:customStyle="1" w:styleId="42">
    <w:name w:val="批注主题 字符"/>
    <w:basedOn w:val="36"/>
    <w:link w:val="22"/>
    <w:semiHidden/>
    <w:qFormat/>
    <w:locked/>
    <w:uiPriority w:val="99"/>
    <w:rPr>
      <w:rFonts w:ascii="Times New Roman" w:hAnsi="Times New Roman" w:eastAsia="仿宋_GB2312" w:cs="Times New Roman"/>
      <w:b/>
      <w:bCs/>
      <w:sz w:val="21"/>
      <w:szCs w:val="21"/>
    </w:rPr>
  </w:style>
  <w:style w:type="paragraph" w:customStyle="1" w:styleId="43">
    <w:name w:val="List Paragraph"/>
    <w:basedOn w:val="1"/>
    <w:qFormat/>
    <w:uiPriority w:val="99"/>
    <w:pPr>
      <w:ind w:firstLine="420"/>
    </w:pPr>
  </w:style>
  <w:style w:type="paragraph" w:customStyle="1" w:styleId="44">
    <w:name w:val="TOC 标题1"/>
    <w:basedOn w:val="3"/>
    <w:next w:val="1"/>
    <w:qFormat/>
    <w:uiPriority w:val="99"/>
    <w:pPr>
      <w:widowControl/>
      <w:spacing w:before="240" w:line="259" w:lineRule="auto"/>
      <w:jc w:val="left"/>
      <w:outlineLvl w:val="9"/>
    </w:pPr>
    <w:rPr>
      <w:rFonts w:ascii="等线 Light" w:hAnsi="等线 Light" w:eastAsia="等线 Light"/>
      <w:b w:val="0"/>
      <w:bCs w:val="0"/>
      <w:color w:val="2F5496"/>
      <w:kern w:val="0"/>
      <w:sz w:val="32"/>
      <w:szCs w:val="32"/>
    </w:rPr>
  </w:style>
  <w:style w:type="character" w:customStyle="1" w:styleId="45">
    <w:name w:val="bjh-p"/>
    <w:basedOn w:val="25"/>
    <w:qFormat/>
    <w:uiPriority w:val="99"/>
    <w:rPr>
      <w:rFonts w:cs="Times New Roman"/>
    </w:rPr>
  </w:style>
  <w:style w:type="character" w:customStyle="1" w:styleId="46">
    <w:name w:val="fontstyle01"/>
    <w:basedOn w:val="25"/>
    <w:qFormat/>
    <w:uiPriority w:val="99"/>
    <w:rPr>
      <w:rFonts w:ascii="FZFSK--GBK1-0" w:hAnsi="FZFSK--GBK1-0" w:cs="Times New Roman"/>
      <w:color w:val="000000"/>
      <w:sz w:val="30"/>
      <w:szCs w:val="30"/>
    </w:rPr>
  </w:style>
  <w:style w:type="character" w:customStyle="1" w:styleId="47">
    <w:name w:val="Subtle Emphasis1"/>
    <w:basedOn w:val="25"/>
    <w:qFormat/>
    <w:uiPriority w:val="99"/>
    <w:rPr>
      <w:rFonts w:cs="Times New Roman"/>
      <w:i/>
      <w:iCs/>
      <w:color w:val="404040"/>
    </w:rPr>
  </w:style>
  <w:style w:type="paragraph" w:customStyle="1" w:styleId="48">
    <w:name w:val="TOC Heading1"/>
    <w:basedOn w:val="3"/>
    <w:next w:val="1"/>
    <w:qFormat/>
    <w:uiPriority w:val="99"/>
    <w:pPr>
      <w:widowControl/>
      <w:spacing w:before="240" w:line="259" w:lineRule="auto"/>
      <w:jc w:val="left"/>
      <w:outlineLvl w:val="9"/>
    </w:pPr>
    <w:rPr>
      <w:rFonts w:ascii="等线 Light" w:hAnsi="等线 Light" w:eastAsia="等线 Light"/>
      <w:b w:val="0"/>
      <w:bCs w:val="0"/>
      <w:color w:val="2F5496"/>
      <w:kern w:val="0"/>
      <w:sz w:val="32"/>
      <w:szCs w:val="32"/>
    </w:rPr>
  </w:style>
  <w:style w:type="character" w:customStyle="1" w:styleId="49">
    <w:name w:val="未处理的提及1"/>
    <w:basedOn w:val="25"/>
    <w:semiHidden/>
    <w:qFormat/>
    <w:uiPriority w:val="99"/>
    <w:rPr>
      <w:rFonts w:cs="Times New Roman"/>
      <w:color w:val="605E5C"/>
      <w:shd w:val="clear" w:color="auto" w:fill="E1DFDD"/>
    </w:rPr>
  </w:style>
  <w:style w:type="character" w:customStyle="1" w:styleId="50">
    <w:name w:val="标题 1 字符"/>
    <w:basedOn w:val="25"/>
    <w:qFormat/>
    <w:uiPriority w:val="99"/>
    <w:rPr>
      <w:rFonts w:ascii="Times New Roman" w:hAnsi="Times New Roman" w:eastAsia="宋体" w:cs="Times New Roman"/>
      <w:b/>
      <w:bCs/>
      <w:kern w:val="44"/>
      <w:sz w:val="44"/>
      <w:szCs w:val="44"/>
    </w:rPr>
  </w:style>
  <w:style w:type="character" w:customStyle="1" w:styleId="51">
    <w:name w:val="标题 3 字符"/>
    <w:basedOn w:val="25"/>
    <w:qFormat/>
    <w:uiPriority w:val="99"/>
    <w:rPr>
      <w:rFonts w:ascii="Times New Roman" w:hAnsi="Times New Roman" w:eastAsia="仿宋_GB2312" w:cs="Times New Roman"/>
      <w:b/>
      <w:bCs/>
      <w:sz w:val="32"/>
      <w:szCs w:val="32"/>
    </w:rPr>
  </w:style>
  <w:style w:type="character" w:customStyle="1" w:styleId="52">
    <w:name w:val="不明显强调1"/>
    <w:basedOn w:val="25"/>
    <w:qFormat/>
    <w:uiPriority w:val="19"/>
    <w:rPr>
      <w:i/>
      <w:iCs/>
      <w:color w:val="404040" w:themeColor="text1" w:themeTint="BF"/>
      <w14:textFill>
        <w14:solidFill>
          <w14:schemeClr w14:val="tx1">
            <w14:lumMod w14:val="75000"/>
            <w14:lumOff w14:val="25000"/>
          </w14:schemeClr>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3119CB-D2E9-482C-A6A1-651F78473365}">
  <ds:schemaRefs/>
</ds:datastoreItem>
</file>

<file path=docProps/app.xml><?xml version="1.0" encoding="utf-8"?>
<Properties xmlns="http://schemas.openxmlformats.org/officeDocument/2006/extended-properties" xmlns:vt="http://schemas.openxmlformats.org/officeDocument/2006/docPropsVTypes">
  <Template>Normal</Template>
  <Pages>138</Pages>
  <Words>69469</Words>
  <Characters>70809</Characters>
  <Lines>544</Lines>
  <Paragraphs>153</Paragraphs>
  <TotalTime>246</TotalTime>
  <ScaleCrop>false</ScaleCrop>
  <LinksUpToDate>false</LinksUpToDate>
  <CharactersWithSpaces>71103</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2021-01-09T09:28:00Z</dcterms:created>
  <dc:creator>庄 晓</dc:creator>
  <cp:lastModifiedBy>Administrator</cp:lastModifiedBy>
  <cp:lastPrinted>2021-03-04T02:01:00Z</cp:lastPrinted>
  <dcterms:modified xsi:type="dcterms:W3CDTF">2024-03-22T07:33:02Z</dcterms:modified>
  <dc:title>宁德市国民经济和社会发展第十四个五年规划纲要</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C64D8C471D2642259258E8B754C0432B</vt:lpwstr>
  </property>
</Properties>
</file>