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C6" w:rsidRDefault="005F30C6" w:rsidP="005F30C6">
      <w:pPr>
        <w:rPr>
          <w:rFonts w:ascii="黑体" w:eastAsia="黑体" w:hAnsi="黑体" w:hint="eastAsia"/>
        </w:rPr>
      </w:pPr>
      <w:r>
        <w:rPr>
          <w:rFonts w:ascii="黑体" w:eastAsia="黑体" w:hAnsi="黑体" w:cs="宋体" w:hint="eastAsia"/>
          <w:bCs/>
          <w:color w:val="000000"/>
          <w:kern w:val="0"/>
        </w:rPr>
        <w:t>附件1</w:t>
      </w:r>
    </w:p>
    <w:p w:rsidR="005F30C6" w:rsidRDefault="005F30C6" w:rsidP="005F30C6">
      <w:pPr>
        <w:spacing w:line="600" w:lineRule="exact"/>
        <w:jc w:val="center"/>
        <w:rPr>
          <w:rFonts w:ascii="方正小标宋简体" w:eastAsia="方正小标宋简体" w:hAnsi="华文中宋" w:cs="宋体" w:hint="eastAsia"/>
          <w:bCs/>
          <w:color w:val="000000"/>
          <w:kern w:val="0"/>
          <w:sz w:val="44"/>
          <w:szCs w:val="44"/>
        </w:rPr>
      </w:pPr>
      <w:r>
        <w:rPr>
          <w:rFonts w:ascii="方正小标宋简体" w:eastAsia="方正小标宋简体" w:hAnsi="华文中宋" w:cs="宋体" w:hint="eastAsia"/>
          <w:bCs/>
          <w:color w:val="000000"/>
          <w:kern w:val="0"/>
          <w:sz w:val="44"/>
          <w:szCs w:val="44"/>
        </w:rPr>
        <w:t>安全生产领域基层政务公开标准目录</w:t>
      </w:r>
    </w:p>
    <w:p w:rsidR="005F30C6" w:rsidRDefault="005F30C6" w:rsidP="005F30C6">
      <w:pPr>
        <w:spacing w:line="600" w:lineRule="exact"/>
        <w:jc w:val="center"/>
        <w:rPr>
          <w:rFonts w:eastAsia="仿宋_GB2312"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7"/>
        <w:gridCol w:w="483"/>
        <w:gridCol w:w="977"/>
        <w:gridCol w:w="1865"/>
        <w:gridCol w:w="1816"/>
        <w:gridCol w:w="1220"/>
        <w:gridCol w:w="1027"/>
        <w:gridCol w:w="2703"/>
        <w:gridCol w:w="527"/>
        <w:gridCol w:w="415"/>
        <w:gridCol w:w="399"/>
        <w:gridCol w:w="415"/>
        <w:gridCol w:w="397"/>
        <w:gridCol w:w="401"/>
      </w:tblGrid>
      <w:tr w:rsidR="005F30C6" w:rsidTr="00524536">
        <w:trPr>
          <w:trHeight w:val="390"/>
        </w:trPr>
        <w:tc>
          <w:tcPr>
            <w:tcW w:w="2467" w:type="dxa"/>
            <w:gridSpan w:val="3"/>
            <w:vAlign w:val="center"/>
          </w:tcPr>
          <w:p w:rsidR="005F30C6" w:rsidRDefault="005F30C6" w:rsidP="00524536">
            <w:pPr>
              <w:widowControl/>
              <w:spacing w:line="28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公开事项</w:t>
            </w:r>
          </w:p>
        </w:tc>
        <w:tc>
          <w:tcPr>
            <w:tcW w:w="1865" w:type="dxa"/>
            <w:vMerge w:val="restart"/>
            <w:vAlign w:val="center"/>
          </w:tcPr>
          <w:p w:rsidR="005F30C6" w:rsidRDefault="005F30C6" w:rsidP="00524536">
            <w:pPr>
              <w:widowControl/>
              <w:spacing w:line="28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公开内容</w:t>
            </w:r>
          </w:p>
        </w:tc>
        <w:tc>
          <w:tcPr>
            <w:tcW w:w="1816" w:type="dxa"/>
            <w:vMerge w:val="restart"/>
            <w:vAlign w:val="center"/>
          </w:tcPr>
          <w:p w:rsidR="005F30C6" w:rsidRDefault="005F30C6" w:rsidP="00524536">
            <w:pPr>
              <w:widowControl/>
              <w:spacing w:line="28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公开依据</w:t>
            </w:r>
          </w:p>
        </w:tc>
        <w:tc>
          <w:tcPr>
            <w:tcW w:w="1220" w:type="dxa"/>
            <w:vMerge w:val="restart"/>
            <w:vAlign w:val="center"/>
          </w:tcPr>
          <w:p w:rsidR="005F30C6" w:rsidRDefault="005F30C6" w:rsidP="00524536">
            <w:pPr>
              <w:widowControl/>
              <w:spacing w:line="28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公开时限</w:t>
            </w:r>
          </w:p>
        </w:tc>
        <w:tc>
          <w:tcPr>
            <w:tcW w:w="1027" w:type="dxa"/>
            <w:vMerge w:val="restart"/>
            <w:vAlign w:val="center"/>
          </w:tcPr>
          <w:p w:rsidR="005F30C6" w:rsidRDefault="005F30C6" w:rsidP="00524536">
            <w:pPr>
              <w:widowControl/>
              <w:spacing w:line="28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公开主体</w:t>
            </w:r>
          </w:p>
        </w:tc>
        <w:tc>
          <w:tcPr>
            <w:tcW w:w="2703" w:type="dxa"/>
            <w:vMerge w:val="restart"/>
            <w:vAlign w:val="center"/>
          </w:tcPr>
          <w:p w:rsidR="005F30C6" w:rsidRDefault="005F30C6" w:rsidP="00524536">
            <w:pPr>
              <w:widowControl/>
              <w:spacing w:line="28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公开渠道和载体</w:t>
            </w:r>
          </w:p>
        </w:tc>
        <w:tc>
          <w:tcPr>
            <w:tcW w:w="942" w:type="dxa"/>
            <w:gridSpan w:val="2"/>
            <w:vAlign w:val="center"/>
          </w:tcPr>
          <w:p w:rsidR="005F30C6" w:rsidRDefault="005F30C6" w:rsidP="00524536">
            <w:pPr>
              <w:widowControl/>
              <w:spacing w:line="28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公开对象</w:t>
            </w:r>
          </w:p>
        </w:tc>
        <w:tc>
          <w:tcPr>
            <w:tcW w:w="814" w:type="dxa"/>
            <w:gridSpan w:val="2"/>
            <w:vAlign w:val="center"/>
          </w:tcPr>
          <w:p w:rsidR="005F30C6" w:rsidRDefault="005F30C6" w:rsidP="00524536">
            <w:pPr>
              <w:widowControl/>
              <w:spacing w:line="28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公开方式</w:t>
            </w:r>
          </w:p>
        </w:tc>
        <w:tc>
          <w:tcPr>
            <w:tcW w:w="798" w:type="dxa"/>
            <w:gridSpan w:val="2"/>
            <w:vAlign w:val="center"/>
          </w:tcPr>
          <w:p w:rsidR="005F30C6" w:rsidRDefault="005F30C6" w:rsidP="00524536">
            <w:pPr>
              <w:widowControl/>
              <w:spacing w:line="28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公开层级</w:t>
            </w:r>
          </w:p>
        </w:tc>
      </w:tr>
      <w:tr w:rsidR="005F30C6" w:rsidTr="00524536">
        <w:trPr>
          <w:trHeight w:val="585"/>
        </w:trPr>
        <w:tc>
          <w:tcPr>
            <w:tcW w:w="1007" w:type="dxa"/>
            <w:vAlign w:val="center"/>
          </w:tcPr>
          <w:p w:rsidR="005F30C6" w:rsidRDefault="005F30C6" w:rsidP="00524536">
            <w:pPr>
              <w:widowControl/>
              <w:spacing w:line="28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一级事项</w:t>
            </w:r>
          </w:p>
        </w:tc>
        <w:tc>
          <w:tcPr>
            <w:tcW w:w="1460" w:type="dxa"/>
            <w:gridSpan w:val="2"/>
            <w:vAlign w:val="center"/>
          </w:tcPr>
          <w:p w:rsidR="005F30C6" w:rsidRDefault="005F30C6" w:rsidP="00524536">
            <w:pPr>
              <w:widowControl/>
              <w:spacing w:line="28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二级事项</w:t>
            </w:r>
          </w:p>
        </w:tc>
        <w:tc>
          <w:tcPr>
            <w:tcW w:w="1865" w:type="dxa"/>
            <w:vMerge/>
            <w:vAlign w:val="center"/>
          </w:tcPr>
          <w:p w:rsidR="005F30C6" w:rsidRDefault="005F30C6" w:rsidP="00524536">
            <w:pPr>
              <w:widowControl/>
              <w:spacing w:line="280" w:lineRule="exact"/>
              <w:jc w:val="left"/>
              <w:rPr>
                <w:rFonts w:ascii="黑体" w:eastAsia="黑体" w:hAnsi="黑体" w:cs="宋体"/>
                <w:b/>
                <w:bCs/>
                <w:color w:val="000000"/>
                <w:kern w:val="0"/>
                <w:sz w:val="18"/>
                <w:szCs w:val="18"/>
              </w:rPr>
            </w:pPr>
          </w:p>
        </w:tc>
        <w:tc>
          <w:tcPr>
            <w:tcW w:w="1816" w:type="dxa"/>
            <w:vMerge/>
            <w:vAlign w:val="center"/>
          </w:tcPr>
          <w:p w:rsidR="005F30C6" w:rsidRDefault="005F30C6" w:rsidP="00524536">
            <w:pPr>
              <w:widowControl/>
              <w:spacing w:line="280" w:lineRule="exact"/>
              <w:jc w:val="left"/>
              <w:rPr>
                <w:rFonts w:ascii="黑体" w:eastAsia="黑体" w:hAnsi="黑体" w:cs="宋体"/>
                <w:b/>
                <w:bCs/>
                <w:color w:val="000000"/>
                <w:kern w:val="0"/>
                <w:sz w:val="18"/>
                <w:szCs w:val="18"/>
              </w:rPr>
            </w:pPr>
          </w:p>
        </w:tc>
        <w:tc>
          <w:tcPr>
            <w:tcW w:w="1220" w:type="dxa"/>
            <w:vMerge/>
            <w:vAlign w:val="center"/>
          </w:tcPr>
          <w:p w:rsidR="005F30C6" w:rsidRDefault="005F30C6" w:rsidP="00524536">
            <w:pPr>
              <w:widowControl/>
              <w:spacing w:line="280" w:lineRule="exact"/>
              <w:jc w:val="left"/>
              <w:rPr>
                <w:rFonts w:ascii="黑体" w:eastAsia="黑体" w:hAnsi="黑体" w:cs="宋体"/>
                <w:b/>
                <w:bCs/>
                <w:color w:val="000000"/>
                <w:kern w:val="0"/>
                <w:sz w:val="18"/>
                <w:szCs w:val="18"/>
              </w:rPr>
            </w:pPr>
          </w:p>
        </w:tc>
        <w:tc>
          <w:tcPr>
            <w:tcW w:w="1027" w:type="dxa"/>
            <w:vMerge/>
            <w:vAlign w:val="center"/>
          </w:tcPr>
          <w:p w:rsidR="005F30C6" w:rsidRDefault="005F30C6" w:rsidP="00524536">
            <w:pPr>
              <w:widowControl/>
              <w:spacing w:line="280" w:lineRule="exact"/>
              <w:jc w:val="left"/>
              <w:rPr>
                <w:rFonts w:ascii="黑体" w:eastAsia="黑体" w:hAnsi="黑体" w:cs="宋体"/>
                <w:b/>
                <w:bCs/>
                <w:color w:val="000000"/>
                <w:kern w:val="0"/>
                <w:sz w:val="18"/>
                <w:szCs w:val="18"/>
              </w:rPr>
            </w:pPr>
          </w:p>
        </w:tc>
        <w:tc>
          <w:tcPr>
            <w:tcW w:w="2703" w:type="dxa"/>
            <w:vMerge/>
            <w:vAlign w:val="center"/>
          </w:tcPr>
          <w:p w:rsidR="005F30C6" w:rsidRDefault="005F30C6" w:rsidP="00524536">
            <w:pPr>
              <w:widowControl/>
              <w:spacing w:line="280" w:lineRule="exact"/>
              <w:jc w:val="left"/>
              <w:rPr>
                <w:rFonts w:ascii="黑体" w:eastAsia="黑体" w:hAnsi="黑体" w:cs="宋体"/>
                <w:b/>
                <w:bCs/>
                <w:color w:val="000000"/>
                <w:kern w:val="0"/>
                <w:sz w:val="18"/>
                <w:szCs w:val="18"/>
              </w:rPr>
            </w:pPr>
          </w:p>
        </w:tc>
        <w:tc>
          <w:tcPr>
            <w:tcW w:w="527" w:type="dxa"/>
            <w:vAlign w:val="center"/>
          </w:tcPr>
          <w:p w:rsidR="005F30C6" w:rsidRDefault="005F30C6" w:rsidP="00524536">
            <w:pPr>
              <w:widowControl/>
              <w:spacing w:line="28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全社会</w:t>
            </w:r>
          </w:p>
        </w:tc>
        <w:tc>
          <w:tcPr>
            <w:tcW w:w="415" w:type="dxa"/>
            <w:vAlign w:val="center"/>
          </w:tcPr>
          <w:p w:rsidR="005F30C6" w:rsidRDefault="005F30C6" w:rsidP="00524536">
            <w:pPr>
              <w:widowControl/>
              <w:spacing w:line="28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特定群体</w:t>
            </w:r>
          </w:p>
        </w:tc>
        <w:tc>
          <w:tcPr>
            <w:tcW w:w="399" w:type="dxa"/>
            <w:vAlign w:val="center"/>
          </w:tcPr>
          <w:p w:rsidR="005F30C6" w:rsidRDefault="005F30C6" w:rsidP="00524536">
            <w:pPr>
              <w:widowControl/>
              <w:spacing w:line="28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主动</w:t>
            </w:r>
          </w:p>
        </w:tc>
        <w:tc>
          <w:tcPr>
            <w:tcW w:w="415" w:type="dxa"/>
            <w:vAlign w:val="center"/>
          </w:tcPr>
          <w:p w:rsidR="005F30C6" w:rsidRDefault="005F30C6" w:rsidP="00524536">
            <w:pPr>
              <w:widowControl/>
              <w:spacing w:line="28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依申请</w:t>
            </w:r>
          </w:p>
        </w:tc>
        <w:tc>
          <w:tcPr>
            <w:tcW w:w="397" w:type="dxa"/>
            <w:vAlign w:val="center"/>
          </w:tcPr>
          <w:p w:rsidR="005F30C6" w:rsidRDefault="005F30C6" w:rsidP="00524536">
            <w:pPr>
              <w:widowControl/>
              <w:spacing w:line="28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县级</w:t>
            </w:r>
          </w:p>
        </w:tc>
        <w:tc>
          <w:tcPr>
            <w:tcW w:w="401" w:type="dxa"/>
            <w:vAlign w:val="center"/>
          </w:tcPr>
          <w:p w:rsidR="005F30C6" w:rsidRDefault="005F30C6" w:rsidP="00524536">
            <w:pPr>
              <w:widowControl/>
              <w:spacing w:line="28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乡级</w:t>
            </w:r>
          </w:p>
        </w:tc>
      </w:tr>
      <w:tr w:rsidR="005F30C6" w:rsidTr="00524536">
        <w:trPr>
          <w:trHeight w:val="1200"/>
        </w:trPr>
        <w:tc>
          <w:tcPr>
            <w:tcW w:w="1007" w:type="dxa"/>
            <w:vMerge w:val="restart"/>
            <w:vAlign w:val="center"/>
          </w:tcPr>
          <w:p w:rsidR="005F30C6" w:rsidRDefault="005F30C6" w:rsidP="00524536">
            <w:pPr>
              <w:widowControl/>
              <w:spacing w:line="280" w:lineRule="exact"/>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政策文件</w:t>
            </w:r>
          </w:p>
        </w:tc>
        <w:tc>
          <w:tcPr>
            <w:tcW w:w="483" w:type="dxa"/>
            <w:vAlign w:val="center"/>
          </w:tcPr>
          <w:p w:rsidR="005F30C6" w:rsidRDefault="005F30C6" w:rsidP="00524536">
            <w:pPr>
              <w:widowControl/>
              <w:spacing w:line="28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1</w:t>
            </w:r>
          </w:p>
        </w:tc>
        <w:tc>
          <w:tcPr>
            <w:tcW w:w="977"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法律法规</w:t>
            </w:r>
          </w:p>
        </w:tc>
        <w:tc>
          <w:tcPr>
            <w:tcW w:w="186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与安全生产有关的法律、法规</w:t>
            </w:r>
          </w:p>
        </w:tc>
        <w:tc>
          <w:tcPr>
            <w:tcW w:w="1816"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w:t>
            </w:r>
          </w:p>
        </w:tc>
        <w:tc>
          <w:tcPr>
            <w:tcW w:w="1220"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信息形成或变更之日起20个工作日内</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Merge w:val="restart"/>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                          □社区/企事业单位、村公示栏（电子屏）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5F30C6" w:rsidTr="00524536">
        <w:trPr>
          <w:trHeight w:val="1170"/>
        </w:trPr>
        <w:tc>
          <w:tcPr>
            <w:tcW w:w="1007" w:type="dxa"/>
            <w:vMerge/>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p>
        </w:tc>
        <w:tc>
          <w:tcPr>
            <w:tcW w:w="483" w:type="dxa"/>
            <w:vAlign w:val="center"/>
          </w:tcPr>
          <w:p w:rsidR="005F30C6" w:rsidRDefault="005F30C6" w:rsidP="00524536">
            <w:pPr>
              <w:widowControl/>
              <w:spacing w:line="28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2</w:t>
            </w:r>
          </w:p>
        </w:tc>
        <w:tc>
          <w:tcPr>
            <w:tcW w:w="977"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部门和地方规章</w:t>
            </w:r>
          </w:p>
        </w:tc>
        <w:tc>
          <w:tcPr>
            <w:tcW w:w="186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与安全生产有关的部门和地方规章</w:t>
            </w:r>
          </w:p>
        </w:tc>
        <w:tc>
          <w:tcPr>
            <w:tcW w:w="1816"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w:t>
            </w:r>
          </w:p>
        </w:tc>
        <w:tc>
          <w:tcPr>
            <w:tcW w:w="1220"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信息形成或变更之日起20个工作日内</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Merge/>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5F30C6" w:rsidTr="00524536">
        <w:trPr>
          <w:trHeight w:val="1085"/>
        </w:trPr>
        <w:tc>
          <w:tcPr>
            <w:tcW w:w="1007" w:type="dxa"/>
            <w:vMerge/>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p>
        </w:tc>
        <w:tc>
          <w:tcPr>
            <w:tcW w:w="483" w:type="dxa"/>
            <w:vAlign w:val="center"/>
          </w:tcPr>
          <w:p w:rsidR="005F30C6" w:rsidRDefault="005F30C6" w:rsidP="00524536">
            <w:pPr>
              <w:widowControl/>
              <w:spacing w:line="28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3</w:t>
            </w:r>
          </w:p>
        </w:tc>
        <w:tc>
          <w:tcPr>
            <w:tcW w:w="977"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其他政策文件</w:t>
            </w:r>
          </w:p>
        </w:tc>
        <w:tc>
          <w:tcPr>
            <w:tcW w:w="186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其他可以公开的与安全生产有关的政策文件，包括改革方案、发展规划、专项规划、工作计划等</w:t>
            </w:r>
          </w:p>
        </w:tc>
        <w:tc>
          <w:tcPr>
            <w:tcW w:w="1816"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w:t>
            </w:r>
          </w:p>
        </w:tc>
        <w:tc>
          <w:tcPr>
            <w:tcW w:w="1220"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信息形成或变更之日起20个工作日内</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Merge/>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5F30C6" w:rsidTr="00524536">
        <w:trPr>
          <w:trHeight w:val="929"/>
        </w:trPr>
        <w:tc>
          <w:tcPr>
            <w:tcW w:w="1007" w:type="dxa"/>
            <w:vMerge/>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p>
        </w:tc>
        <w:tc>
          <w:tcPr>
            <w:tcW w:w="483" w:type="dxa"/>
            <w:vAlign w:val="center"/>
          </w:tcPr>
          <w:p w:rsidR="005F30C6" w:rsidRDefault="005F30C6" w:rsidP="00524536">
            <w:pPr>
              <w:widowControl/>
              <w:spacing w:line="28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4</w:t>
            </w:r>
          </w:p>
        </w:tc>
        <w:tc>
          <w:tcPr>
            <w:tcW w:w="977"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标准</w:t>
            </w:r>
          </w:p>
        </w:tc>
        <w:tc>
          <w:tcPr>
            <w:tcW w:w="186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安全生产领域有关的国家标准、行业标准、地方标准等</w:t>
            </w:r>
          </w:p>
        </w:tc>
        <w:tc>
          <w:tcPr>
            <w:tcW w:w="1816"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w:t>
            </w:r>
          </w:p>
        </w:tc>
        <w:tc>
          <w:tcPr>
            <w:tcW w:w="1220"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信息形成或变更之日起20个工作日</w:t>
            </w:r>
            <w:r>
              <w:rPr>
                <w:rFonts w:ascii="仿宋_GB2312" w:eastAsia="仿宋_GB2312" w:hAnsi="宋体" w:cs="宋体" w:hint="eastAsia"/>
                <w:b/>
                <w:bCs/>
                <w:color w:val="000000"/>
                <w:kern w:val="0"/>
                <w:sz w:val="18"/>
                <w:szCs w:val="18"/>
              </w:rPr>
              <w:lastRenderedPageBreak/>
              <w:t>内</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应急管理部门</w:t>
            </w:r>
          </w:p>
        </w:tc>
        <w:tc>
          <w:tcPr>
            <w:tcW w:w="2703" w:type="dxa"/>
            <w:vMerge/>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r>
      <w:tr w:rsidR="005F30C6" w:rsidTr="00524536">
        <w:trPr>
          <w:trHeight w:val="2400"/>
        </w:trPr>
        <w:tc>
          <w:tcPr>
            <w:tcW w:w="1007" w:type="dxa"/>
            <w:vMerge/>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p>
        </w:tc>
        <w:tc>
          <w:tcPr>
            <w:tcW w:w="483" w:type="dxa"/>
            <w:vAlign w:val="center"/>
          </w:tcPr>
          <w:p w:rsidR="005F30C6" w:rsidRDefault="005F30C6" w:rsidP="00524536">
            <w:pPr>
              <w:widowControl/>
              <w:spacing w:line="28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5</w:t>
            </w:r>
          </w:p>
        </w:tc>
        <w:tc>
          <w:tcPr>
            <w:tcW w:w="977"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重大决策草案</w:t>
            </w:r>
          </w:p>
        </w:tc>
        <w:tc>
          <w:tcPr>
            <w:tcW w:w="186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涉及管理相对人切身利益、需社会广泛知晓的重要改革方案等重大决策，决策前向社会公开决策草案、决策依据</w:t>
            </w:r>
          </w:p>
        </w:tc>
        <w:tc>
          <w:tcPr>
            <w:tcW w:w="1816"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《中华人民共和国政府信息公开条例》(国务院令第711号），中央办公厅、国务院办公厅《关于全面推进政务公开工作的意见》</w:t>
            </w:r>
          </w:p>
        </w:tc>
        <w:tc>
          <w:tcPr>
            <w:tcW w:w="1220"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按进展情况及时公开</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5F30C6" w:rsidTr="00524536">
        <w:trPr>
          <w:trHeight w:val="2460"/>
        </w:trPr>
        <w:tc>
          <w:tcPr>
            <w:tcW w:w="1007" w:type="dxa"/>
            <w:vMerge w:val="restart"/>
            <w:vAlign w:val="center"/>
          </w:tcPr>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r>
              <w:rPr>
                <w:rFonts w:ascii="仿宋_GB2312" w:eastAsia="仿宋_GB2312" w:hAnsi="宋体" w:cs="宋体" w:hint="eastAsia"/>
                <w:b/>
                <w:bCs/>
                <w:color w:val="000000"/>
                <w:kern w:val="0"/>
                <w:sz w:val="18"/>
                <w:szCs w:val="18"/>
              </w:rPr>
              <w:t>政策文件</w:t>
            </w:r>
          </w:p>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left"/>
              <w:rPr>
                <w:rFonts w:ascii="仿宋_GB2312" w:eastAsia="仿宋_GB2312" w:hAnsi="宋体" w:cs="宋体"/>
                <w:b/>
                <w:bCs/>
                <w:color w:val="000000"/>
                <w:kern w:val="0"/>
                <w:sz w:val="18"/>
                <w:szCs w:val="18"/>
              </w:rPr>
            </w:pPr>
          </w:p>
        </w:tc>
        <w:tc>
          <w:tcPr>
            <w:tcW w:w="483" w:type="dxa"/>
            <w:vAlign w:val="center"/>
          </w:tcPr>
          <w:p w:rsidR="005F30C6" w:rsidRDefault="005F30C6" w:rsidP="00524536">
            <w:pPr>
              <w:widowControl/>
              <w:spacing w:line="28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lastRenderedPageBreak/>
              <w:t>6</w:t>
            </w:r>
          </w:p>
        </w:tc>
        <w:tc>
          <w:tcPr>
            <w:tcW w:w="977"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重大政策解读及回应</w:t>
            </w:r>
          </w:p>
        </w:tc>
        <w:tc>
          <w:tcPr>
            <w:tcW w:w="186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有关重大政策的解读与回应，安全生产相关热点问题的解读与回应</w:t>
            </w:r>
          </w:p>
        </w:tc>
        <w:tc>
          <w:tcPr>
            <w:tcW w:w="1816"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《中华人民共和国政府信息公开条例》(国务院令第711号）、中办国办《关于全面推进政务公开工作的意见》</w:t>
            </w:r>
          </w:p>
        </w:tc>
        <w:tc>
          <w:tcPr>
            <w:tcW w:w="1220"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重大决策</w:t>
            </w:r>
            <w:proofErr w:type="gramStart"/>
            <w:r>
              <w:rPr>
                <w:rFonts w:ascii="仿宋_GB2312" w:eastAsia="仿宋_GB2312" w:hAnsi="宋体" w:cs="宋体" w:hint="eastAsia"/>
                <w:b/>
                <w:bCs/>
                <w:color w:val="000000"/>
                <w:kern w:val="0"/>
                <w:sz w:val="18"/>
                <w:szCs w:val="18"/>
              </w:rPr>
              <w:t>作出</w:t>
            </w:r>
            <w:proofErr w:type="gramEnd"/>
            <w:r>
              <w:rPr>
                <w:rFonts w:ascii="仿宋_GB2312" w:eastAsia="仿宋_GB2312" w:hAnsi="宋体" w:cs="宋体" w:hint="eastAsia"/>
                <w:b/>
                <w:bCs/>
                <w:color w:val="000000"/>
                <w:kern w:val="0"/>
                <w:sz w:val="18"/>
                <w:szCs w:val="18"/>
              </w:rPr>
              <w:t>后及时公开</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r>
      <w:tr w:rsidR="005F30C6" w:rsidTr="00524536">
        <w:trPr>
          <w:trHeight w:val="1396"/>
        </w:trPr>
        <w:tc>
          <w:tcPr>
            <w:tcW w:w="1007" w:type="dxa"/>
            <w:vMerge/>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p>
        </w:tc>
        <w:tc>
          <w:tcPr>
            <w:tcW w:w="483" w:type="dxa"/>
            <w:vAlign w:val="center"/>
          </w:tcPr>
          <w:p w:rsidR="005F30C6" w:rsidRDefault="005F30C6" w:rsidP="00524536">
            <w:pPr>
              <w:widowControl/>
              <w:spacing w:line="280" w:lineRule="exact"/>
              <w:jc w:val="righ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right"/>
              <w:rPr>
                <w:rFonts w:ascii="仿宋_GB2312" w:eastAsia="仿宋_GB2312" w:hAnsi="宋体" w:cs="宋体" w:hint="eastAsia"/>
                <w:b/>
                <w:bCs/>
                <w:color w:val="000000"/>
                <w:kern w:val="0"/>
                <w:sz w:val="18"/>
                <w:szCs w:val="18"/>
              </w:rPr>
            </w:pPr>
            <w:r>
              <w:rPr>
                <w:rFonts w:ascii="仿宋_GB2312" w:eastAsia="仿宋_GB2312" w:hAnsi="宋体" w:cs="宋体" w:hint="eastAsia"/>
                <w:b/>
                <w:bCs/>
                <w:color w:val="000000"/>
                <w:kern w:val="0"/>
                <w:sz w:val="18"/>
                <w:szCs w:val="18"/>
              </w:rPr>
              <w:t>7</w:t>
            </w:r>
          </w:p>
          <w:p w:rsidR="005F30C6" w:rsidRDefault="005F30C6" w:rsidP="00524536">
            <w:pPr>
              <w:widowControl/>
              <w:spacing w:line="280" w:lineRule="exact"/>
              <w:jc w:val="righ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righ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righ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right"/>
              <w:rPr>
                <w:rFonts w:ascii="仿宋_GB2312" w:eastAsia="仿宋_GB2312" w:hAnsi="宋体" w:cs="宋体"/>
                <w:b/>
                <w:bCs/>
                <w:color w:val="000000"/>
                <w:kern w:val="0"/>
                <w:sz w:val="18"/>
                <w:szCs w:val="18"/>
              </w:rPr>
            </w:pPr>
          </w:p>
        </w:tc>
        <w:tc>
          <w:tcPr>
            <w:tcW w:w="977" w:type="dxa"/>
            <w:vAlign w:val="center"/>
          </w:tcPr>
          <w:p w:rsidR="005F30C6" w:rsidRDefault="005F30C6" w:rsidP="00524536">
            <w:pPr>
              <w:widowControl/>
              <w:spacing w:line="280" w:lineRule="exact"/>
              <w:jc w:val="left"/>
              <w:rPr>
                <w:rFonts w:ascii="仿宋_GB2312" w:eastAsia="仿宋_GB2312" w:hAnsi="宋体" w:cs="宋体" w:hint="eastAsia"/>
                <w:b/>
                <w:bCs/>
                <w:kern w:val="0"/>
                <w:sz w:val="18"/>
                <w:szCs w:val="18"/>
              </w:rPr>
            </w:pPr>
          </w:p>
          <w:p w:rsidR="005F30C6" w:rsidRDefault="005F30C6" w:rsidP="00524536">
            <w:pPr>
              <w:widowControl/>
              <w:spacing w:line="280" w:lineRule="exact"/>
              <w:jc w:val="left"/>
              <w:rPr>
                <w:rFonts w:ascii="仿宋_GB2312" w:eastAsia="仿宋_GB2312" w:hAnsi="宋体" w:cs="宋体" w:hint="eastAsia"/>
                <w:b/>
                <w:bCs/>
                <w:kern w:val="0"/>
                <w:sz w:val="18"/>
                <w:szCs w:val="18"/>
              </w:rPr>
            </w:pPr>
          </w:p>
          <w:p w:rsidR="005F30C6" w:rsidRDefault="005F30C6" w:rsidP="00524536">
            <w:pPr>
              <w:widowControl/>
              <w:spacing w:line="280" w:lineRule="exact"/>
              <w:jc w:val="left"/>
              <w:rPr>
                <w:rFonts w:ascii="仿宋_GB2312" w:eastAsia="仿宋_GB2312" w:hAnsi="宋体" w:cs="宋体" w:hint="eastAsia"/>
                <w:b/>
                <w:bCs/>
                <w:kern w:val="0"/>
                <w:sz w:val="18"/>
                <w:szCs w:val="18"/>
              </w:rPr>
            </w:pPr>
            <w:r>
              <w:rPr>
                <w:rFonts w:ascii="仿宋_GB2312" w:eastAsia="仿宋_GB2312" w:hAnsi="宋体" w:cs="宋体" w:hint="eastAsia"/>
                <w:b/>
                <w:bCs/>
                <w:kern w:val="0"/>
                <w:sz w:val="18"/>
                <w:szCs w:val="18"/>
              </w:rPr>
              <w:t>重要会议</w:t>
            </w:r>
          </w:p>
          <w:p w:rsidR="005F30C6" w:rsidRDefault="005F30C6" w:rsidP="00524536">
            <w:pPr>
              <w:widowControl/>
              <w:spacing w:line="280" w:lineRule="exact"/>
              <w:jc w:val="left"/>
              <w:rPr>
                <w:rFonts w:ascii="仿宋_GB2312" w:eastAsia="仿宋_GB2312" w:hAnsi="宋体" w:cs="宋体" w:hint="eastAsia"/>
                <w:b/>
                <w:bCs/>
                <w:kern w:val="0"/>
                <w:sz w:val="18"/>
                <w:szCs w:val="18"/>
              </w:rPr>
            </w:pPr>
          </w:p>
          <w:p w:rsidR="005F30C6" w:rsidRDefault="005F30C6" w:rsidP="00524536">
            <w:pPr>
              <w:widowControl/>
              <w:spacing w:line="280" w:lineRule="exact"/>
              <w:jc w:val="left"/>
              <w:rPr>
                <w:rFonts w:ascii="仿宋_GB2312" w:eastAsia="仿宋_GB2312" w:hAnsi="宋体" w:cs="宋体" w:hint="eastAsia"/>
                <w:b/>
                <w:bCs/>
                <w:kern w:val="0"/>
                <w:sz w:val="18"/>
                <w:szCs w:val="18"/>
              </w:rPr>
            </w:pPr>
          </w:p>
          <w:p w:rsidR="005F30C6" w:rsidRDefault="005F30C6" w:rsidP="00524536">
            <w:pPr>
              <w:widowControl/>
              <w:spacing w:line="280" w:lineRule="exact"/>
              <w:jc w:val="left"/>
              <w:rPr>
                <w:rFonts w:ascii="仿宋_GB2312" w:eastAsia="仿宋_GB2312" w:hAnsi="宋体" w:cs="宋体"/>
                <w:b/>
                <w:bCs/>
                <w:kern w:val="0"/>
                <w:sz w:val="18"/>
                <w:szCs w:val="18"/>
              </w:rPr>
            </w:pPr>
          </w:p>
        </w:tc>
        <w:tc>
          <w:tcPr>
            <w:tcW w:w="186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通过会议讨论</w:t>
            </w:r>
            <w:proofErr w:type="gramStart"/>
            <w:r>
              <w:rPr>
                <w:rFonts w:ascii="仿宋_GB2312" w:eastAsia="仿宋_GB2312" w:hAnsi="宋体" w:cs="宋体" w:hint="eastAsia"/>
                <w:b/>
                <w:bCs/>
                <w:kern w:val="0"/>
                <w:sz w:val="18"/>
                <w:szCs w:val="18"/>
              </w:rPr>
              <w:t>作出</w:t>
            </w:r>
            <w:proofErr w:type="gramEnd"/>
            <w:r>
              <w:rPr>
                <w:rFonts w:ascii="仿宋_GB2312" w:eastAsia="仿宋_GB2312" w:hAnsi="宋体" w:cs="宋体" w:hint="eastAsia"/>
                <w:b/>
                <w:bCs/>
                <w:kern w:val="0"/>
                <w:sz w:val="18"/>
                <w:szCs w:val="18"/>
              </w:rPr>
              <w:t>重要改革方案等重大决策时，经党组研究认为有必要公开讨论决策过程的会议</w:t>
            </w:r>
          </w:p>
        </w:tc>
        <w:tc>
          <w:tcPr>
            <w:tcW w:w="1816"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《中华人民共和国政府信息公开条例》(国务院令第711号）,中央办公厅、国务院办公厅《关于全面推进政务公开工作的意见》</w:t>
            </w:r>
          </w:p>
        </w:tc>
        <w:tc>
          <w:tcPr>
            <w:tcW w:w="1220"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提前一周发通知邀请</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5F30C6" w:rsidTr="00524536">
        <w:trPr>
          <w:trHeight w:val="2535"/>
        </w:trPr>
        <w:tc>
          <w:tcPr>
            <w:tcW w:w="1007" w:type="dxa"/>
            <w:vMerge/>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p>
        </w:tc>
        <w:tc>
          <w:tcPr>
            <w:tcW w:w="483" w:type="dxa"/>
            <w:vAlign w:val="center"/>
          </w:tcPr>
          <w:p w:rsidR="005F30C6" w:rsidRDefault="005F30C6" w:rsidP="00524536">
            <w:pPr>
              <w:widowControl/>
              <w:spacing w:line="28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8</w:t>
            </w:r>
          </w:p>
        </w:tc>
        <w:tc>
          <w:tcPr>
            <w:tcW w:w="977"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征集采纳社会公众意见情况</w:t>
            </w:r>
          </w:p>
        </w:tc>
        <w:tc>
          <w:tcPr>
            <w:tcW w:w="186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重大决策草案公布后征集到的社会公众意见情况、采纳与否情况及理由等</w:t>
            </w:r>
          </w:p>
        </w:tc>
        <w:tc>
          <w:tcPr>
            <w:tcW w:w="1816"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《中华人民共和国政府信息公开条例》(国务院令第711号），中央办公厅、国务院办公厅《关于全面推进政务公开工作的意见》</w:t>
            </w:r>
          </w:p>
        </w:tc>
        <w:tc>
          <w:tcPr>
            <w:tcW w:w="1220"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征求意见时对外公布的时限内公开</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5F30C6" w:rsidTr="00524536">
        <w:trPr>
          <w:trHeight w:val="2520"/>
        </w:trPr>
        <w:tc>
          <w:tcPr>
            <w:tcW w:w="1007" w:type="dxa"/>
            <w:vMerge w:val="restart"/>
            <w:vAlign w:val="center"/>
          </w:tcPr>
          <w:p w:rsidR="005F30C6" w:rsidRDefault="005F30C6" w:rsidP="00524536">
            <w:pPr>
              <w:widowControl/>
              <w:spacing w:line="280" w:lineRule="exact"/>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lastRenderedPageBreak/>
              <w:t>依法行政</w:t>
            </w:r>
          </w:p>
        </w:tc>
        <w:tc>
          <w:tcPr>
            <w:tcW w:w="483" w:type="dxa"/>
            <w:vAlign w:val="center"/>
          </w:tcPr>
          <w:p w:rsidR="005F30C6" w:rsidRDefault="005F30C6" w:rsidP="00524536">
            <w:pPr>
              <w:widowControl/>
              <w:spacing w:line="28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1</w:t>
            </w:r>
          </w:p>
        </w:tc>
        <w:tc>
          <w:tcPr>
            <w:tcW w:w="977"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行政许可</w:t>
            </w:r>
          </w:p>
        </w:tc>
        <w:tc>
          <w:tcPr>
            <w:tcW w:w="186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办理行政许可和其他对外管理服务事项的依据、条件、程序</w:t>
            </w:r>
          </w:p>
        </w:tc>
        <w:tc>
          <w:tcPr>
            <w:tcW w:w="1816"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《中华人民共和国政府信息公开条例》(国务院令第711号）、《中共中央 国务院关于推进安全生产领域改革发展的意见》</w:t>
            </w:r>
          </w:p>
        </w:tc>
        <w:tc>
          <w:tcPr>
            <w:tcW w:w="1220"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信息形成或变更之日起20个工作日内</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r>
      <w:tr w:rsidR="005F30C6" w:rsidTr="00524536">
        <w:trPr>
          <w:trHeight w:val="2325"/>
        </w:trPr>
        <w:tc>
          <w:tcPr>
            <w:tcW w:w="1007" w:type="dxa"/>
            <w:vMerge/>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p>
        </w:tc>
        <w:tc>
          <w:tcPr>
            <w:tcW w:w="483" w:type="dxa"/>
            <w:vAlign w:val="center"/>
          </w:tcPr>
          <w:p w:rsidR="005F30C6" w:rsidRDefault="005F30C6" w:rsidP="00524536">
            <w:pPr>
              <w:widowControl/>
              <w:spacing w:line="28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2</w:t>
            </w:r>
          </w:p>
        </w:tc>
        <w:tc>
          <w:tcPr>
            <w:tcW w:w="977"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行政处罚</w:t>
            </w:r>
          </w:p>
        </w:tc>
        <w:tc>
          <w:tcPr>
            <w:tcW w:w="186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办理行政处罚的依据、条件、程序以及本级行政机关认为具有一定社会影响的行政处罚决定</w:t>
            </w:r>
          </w:p>
        </w:tc>
        <w:tc>
          <w:tcPr>
            <w:tcW w:w="1816"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《中华人民共和国政府信息公开条例》(国务院令第711号）、《中共中央 国务院关于推进安全生产领域改革发展的意见》</w:t>
            </w:r>
          </w:p>
        </w:tc>
        <w:tc>
          <w:tcPr>
            <w:tcW w:w="1220"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信息形成或变更之日起20个工作日内</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r>
      <w:tr w:rsidR="005F30C6" w:rsidTr="00524536">
        <w:trPr>
          <w:trHeight w:val="2019"/>
        </w:trPr>
        <w:tc>
          <w:tcPr>
            <w:tcW w:w="1007" w:type="dxa"/>
            <w:vMerge/>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p>
        </w:tc>
        <w:tc>
          <w:tcPr>
            <w:tcW w:w="483" w:type="dxa"/>
            <w:vAlign w:val="center"/>
          </w:tcPr>
          <w:p w:rsidR="005F30C6" w:rsidRDefault="005F30C6" w:rsidP="00524536">
            <w:pPr>
              <w:widowControl/>
              <w:spacing w:line="28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3</w:t>
            </w:r>
          </w:p>
        </w:tc>
        <w:tc>
          <w:tcPr>
            <w:tcW w:w="977"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行政强制</w:t>
            </w:r>
          </w:p>
        </w:tc>
        <w:tc>
          <w:tcPr>
            <w:tcW w:w="186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办理行政强制的依据、条件、程序</w:t>
            </w:r>
          </w:p>
        </w:tc>
        <w:tc>
          <w:tcPr>
            <w:tcW w:w="1816"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《中华人民共和国政府信息公开条例》(国务院令第711号）《中华人民共和国突发事件应对法》、《突发事件应急预案管理办法》、《中共中央 国务院关于推进安全生产领域改革发展的意见》</w:t>
            </w:r>
          </w:p>
        </w:tc>
        <w:tc>
          <w:tcPr>
            <w:tcW w:w="1220"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信息形成或变更之日起20个工作日内</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r>
      <w:tr w:rsidR="005F30C6" w:rsidTr="00524536">
        <w:trPr>
          <w:trHeight w:val="2625"/>
        </w:trPr>
        <w:tc>
          <w:tcPr>
            <w:tcW w:w="1007" w:type="dxa"/>
            <w:vMerge w:val="restart"/>
            <w:vAlign w:val="center"/>
          </w:tcPr>
          <w:p w:rsidR="005F30C6" w:rsidRDefault="005F30C6" w:rsidP="00524536">
            <w:pPr>
              <w:widowControl/>
              <w:spacing w:line="280" w:lineRule="exact"/>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行政管理</w:t>
            </w:r>
          </w:p>
        </w:tc>
        <w:tc>
          <w:tcPr>
            <w:tcW w:w="483" w:type="dxa"/>
            <w:vAlign w:val="center"/>
          </w:tcPr>
          <w:p w:rsidR="005F30C6" w:rsidRDefault="005F30C6" w:rsidP="00524536">
            <w:pPr>
              <w:widowControl/>
              <w:spacing w:line="28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1</w:t>
            </w:r>
          </w:p>
        </w:tc>
        <w:tc>
          <w:tcPr>
            <w:tcW w:w="977"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隐患管理</w:t>
            </w:r>
          </w:p>
        </w:tc>
        <w:tc>
          <w:tcPr>
            <w:tcW w:w="186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重大隐患排查、挂牌督办及其整改情况，安全生产举报电话等</w:t>
            </w:r>
          </w:p>
        </w:tc>
        <w:tc>
          <w:tcPr>
            <w:tcW w:w="1816"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《安全生产法》、《中华人民共和国政府信息公开条例》(国务院令第711号）、《中共中央 国务院关于推进安全生产领域改革发展的意见》</w:t>
            </w:r>
          </w:p>
        </w:tc>
        <w:tc>
          <w:tcPr>
            <w:tcW w:w="1220"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按进展情况及时公开</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5F30C6" w:rsidTr="00524536">
        <w:trPr>
          <w:trHeight w:val="306"/>
        </w:trPr>
        <w:tc>
          <w:tcPr>
            <w:tcW w:w="1007" w:type="dxa"/>
            <w:vMerge/>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p>
        </w:tc>
        <w:tc>
          <w:tcPr>
            <w:tcW w:w="483" w:type="dxa"/>
            <w:vAlign w:val="center"/>
          </w:tcPr>
          <w:p w:rsidR="005F30C6" w:rsidRDefault="005F30C6" w:rsidP="00524536">
            <w:pPr>
              <w:widowControl/>
              <w:spacing w:line="28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2</w:t>
            </w:r>
          </w:p>
        </w:tc>
        <w:tc>
          <w:tcPr>
            <w:tcW w:w="977"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应急管理</w:t>
            </w:r>
          </w:p>
        </w:tc>
        <w:tc>
          <w:tcPr>
            <w:tcW w:w="186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承担处置主责、非敏感的应急信息，包括事故灾害类预警信息、事故信息、事故后采取的应急处置措施和应对结果等  </w:t>
            </w:r>
          </w:p>
        </w:tc>
        <w:tc>
          <w:tcPr>
            <w:tcW w:w="1816"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《中华人民共和国政府信息公开条例》(国务院令第711号），《中华人民共和国突发事件应对法》，中央办公厅、国务院办公厅《关于全面加强政务公开工作的意见》</w:t>
            </w:r>
          </w:p>
        </w:tc>
        <w:tc>
          <w:tcPr>
            <w:tcW w:w="1220"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按进展情况及时公开</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5F30C6" w:rsidTr="00524536">
        <w:trPr>
          <w:trHeight w:val="2310"/>
        </w:trPr>
        <w:tc>
          <w:tcPr>
            <w:tcW w:w="1007" w:type="dxa"/>
            <w:vMerge w:val="restart"/>
            <w:vAlign w:val="center"/>
          </w:tcPr>
          <w:p w:rsidR="005F30C6" w:rsidRDefault="005F30C6" w:rsidP="00524536">
            <w:pPr>
              <w:widowControl/>
              <w:spacing w:line="280" w:lineRule="exact"/>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lastRenderedPageBreak/>
              <w:t>行政管理</w:t>
            </w:r>
          </w:p>
        </w:tc>
        <w:tc>
          <w:tcPr>
            <w:tcW w:w="483" w:type="dxa"/>
            <w:vAlign w:val="center"/>
          </w:tcPr>
          <w:p w:rsidR="005F30C6" w:rsidRDefault="005F30C6" w:rsidP="00524536">
            <w:pPr>
              <w:widowControl/>
              <w:spacing w:line="28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3</w:t>
            </w:r>
          </w:p>
        </w:tc>
        <w:tc>
          <w:tcPr>
            <w:tcW w:w="977"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黑名单管理</w:t>
            </w:r>
          </w:p>
        </w:tc>
        <w:tc>
          <w:tcPr>
            <w:tcW w:w="186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列入或撤销纳入安全生产黑名单管理的企业信息，具体企业名称、证照编号、经营地址、负责人姓名等</w:t>
            </w:r>
          </w:p>
        </w:tc>
        <w:tc>
          <w:tcPr>
            <w:tcW w:w="1816"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《中华人民共和国政府信息公开条例》（国务院令第711号）、《社会信用体系建设规划纲要（2014-2020年）》</w:t>
            </w:r>
          </w:p>
        </w:tc>
        <w:tc>
          <w:tcPr>
            <w:tcW w:w="1220"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信息形成或变更之日起20个工作日内</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r>
      <w:tr w:rsidR="005F30C6" w:rsidTr="00524536">
        <w:trPr>
          <w:trHeight w:val="4920"/>
        </w:trPr>
        <w:tc>
          <w:tcPr>
            <w:tcW w:w="1007" w:type="dxa"/>
            <w:vMerge/>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p>
        </w:tc>
        <w:tc>
          <w:tcPr>
            <w:tcW w:w="483" w:type="dxa"/>
            <w:vAlign w:val="center"/>
          </w:tcPr>
          <w:p w:rsidR="005F30C6" w:rsidRDefault="005F30C6" w:rsidP="00524536">
            <w:pPr>
              <w:widowControl/>
              <w:spacing w:line="28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4</w:t>
            </w:r>
          </w:p>
        </w:tc>
        <w:tc>
          <w:tcPr>
            <w:tcW w:w="977"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事故通报</w:t>
            </w:r>
          </w:p>
        </w:tc>
        <w:tc>
          <w:tcPr>
            <w:tcW w:w="186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●事故信息:本部门接报查实的各类生产安全事故情况（事故发生时间、地点、伤亡情况、简要经过）                         ●典型事故通报:各类典型安全生产事故情况通报，主要包括发生时间、地点、起因、经过、结果、相关领导批示情况、预防性措施建议等内容                       ●事故调查报告：依照事故调查处理权限，经批复的生产安全事故调查报告，依法应当保密的除外</w:t>
            </w:r>
          </w:p>
        </w:tc>
        <w:tc>
          <w:tcPr>
            <w:tcW w:w="1816"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《安全生产法》、《中华人民共和国政府信息公开条例》(国务院令第711号）、《中共中央 国务院关于推进安全生产领域改革发展的意见》</w:t>
            </w:r>
          </w:p>
        </w:tc>
        <w:tc>
          <w:tcPr>
            <w:tcW w:w="1220"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按照中央有关要求公开</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r>
      <w:tr w:rsidR="005F30C6" w:rsidTr="00524536">
        <w:trPr>
          <w:trHeight w:val="2460"/>
        </w:trPr>
        <w:tc>
          <w:tcPr>
            <w:tcW w:w="1007" w:type="dxa"/>
            <w:vMerge/>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p>
        </w:tc>
        <w:tc>
          <w:tcPr>
            <w:tcW w:w="483" w:type="dxa"/>
            <w:vAlign w:val="center"/>
          </w:tcPr>
          <w:p w:rsidR="005F30C6" w:rsidRDefault="005F30C6" w:rsidP="00524536">
            <w:pPr>
              <w:widowControl/>
              <w:spacing w:line="280" w:lineRule="exact"/>
              <w:jc w:val="righ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5</w:t>
            </w:r>
          </w:p>
        </w:tc>
        <w:tc>
          <w:tcPr>
            <w:tcW w:w="97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动态信息</w:t>
            </w:r>
          </w:p>
        </w:tc>
        <w:tc>
          <w:tcPr>
            <w:tcW w:w="186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●业务工作动态           ●安全生产执法检查动态</w:t>
            </w:r>
          </w:p>
        </w:tc>
        <w:tc>
          <w:tcPr>
            <w:tcW w:w="1816"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《中华人民共和国政府信息公开条例》(国务院令第711号）、《中共中央 国务院关于推进安全生产领域改革发展的意见》</w:t>
            </w:r>
          </w:p>
        </w:tc>
        <w:tc>
          <w:tcPr>
            <w:tcW w:w="1220"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按进展情况及时公开</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5F30C6" w:rsidTr="00524536">
        <w:trPr>
          <w:trHeight w:val="2535"/>
        </w:trPr>
        <w:tc>
          <w:tcPr>
            <w:tcW w:w="1007" w:type="dxa"/>
            <w:vAlign w:val="center"/>
          </w:tcPr>
          <w:p w:rsidR="005F30C6" w:rsidRDefault="005F30C6" w:rsidP="00524536">
            <w:pPr>
              <w:widowControl/>
              <w:spacing w:line="280" w:lineRule="exact"/>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行政管理</w:t>
            </w:r>
          </w:p>
        </w:tc>
        <w:tc>
          <w:tcPr>
            <w:tcW w:w="483" w:type="dxa"/>
            <w:vAlign w:val="center"/>
          </w:tcPr>
          <w:p w:rsidR="005F30C6" w:rsidRDefault="005F30C6" w:rsidP="00524536">
            <w:pPr>
              <w:widowControl/>
              <w:spacing w:line="28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6</w:t>
            </w:r>
          </w:p>
        </w:tc>
        <w:tc>
          <w:tcPr>
            <w:tcW w:w="977"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安全生产预警提示信息</w:t>
            </w:r>
          </w:p>
        </w:tc>
        <w:tc>
          <w:tcPr>
            <w:tcW w:w="1865" w:type="dxa"/>
            <w:vAlign w:val="center"/>
          </w:tcPr>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r>
              <w:rPr>
                <w:rFonts w:ascii="仿宋_GB2312" w:eastAsia="仿宋_GB2312" w:hAnsi="宋体" w:cs="宋体" w:hint="eastAsia"/>
                <w:b/>
                <w:bCs/>
                <w:color w:val="000000"/>
                <w:kern w:val="0"/>
                <w:sz w:val="18"/>
                <w:szCs w:val="18"/>
              </w:rPr>
              <w:t xml:space="preserve">●气象及灾害预警信息            </w:t>
            </w:r>
          </w:p>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●不同时段、不同领域安全生产提示信息</w:t>
            </w:r>
          </w:p>
        </w:tc>
        <w:tc>
          <w:tcPr>
            <w:tcW w:w="1816"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《中华人民共和国政府信息公开条例》(国务院令第711号）、《中共中央 国务院关于推进安全生产领域改革发展的意见》</w:t>
            </w:r>
          </w:p>
        </w:tc>
        <w:tc>
          <w:tcPr>
            <w:tcW w:w="1220"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信息形成后及时公开</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5F30C6" w:rsidTr="00524536">
        <w:trPr>
          <w:trHeight w:val="2685"/>
        </w:trPr>
        <w:tc>
          <w:tcPr>
            <w:tcW w:w="1007" w:type="dxa"/>
            <w:vMerge w:val="restart"/>
            <w:vAlign w:val="center"/>
          </w:tcPr>
          <w:p w:rsidR="005F30C6" w:rsidRDefault="005F30C6" w:rsidP="00524536">
            <w:pPr>
              <w:widowControl/>
              <w:spacing w:line="280" w:lineRule="exact"/>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公共服务</w:t>
            </w:r>
          </w:p>
        </w:tc>
        <w:tc>
          <w:tcPr>
            <w:tcW w:w="483" w:type="dxa"/>
            <w:vAlign w:val="center"/>
          </w:tcPr>
          <w:p w:rsidR="005F30C6" w:rsidRDefault="005F30C6" w:rsidP="00524536">
            <w:pPr>
              <w:widowControl/>
              <w:spacing w:line="28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1</w:t>
            </w:r>
          </w:p>
        </w:tc>
        <w:tc>
          <w:tcPr>
            <w:tcW w:w="977"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政务公开目录</w:t>
            </w:r>
          </w:p>
        </w:tc>
        <w:tc>
          <w:tcPr>
            <w:tcW w:w="186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政务公开事项的索引、名称、内容概述、生成日期等</w:t>
            </w:r>
          </w:p>
        </w:tc>
        <w:tc>
          <w:tcPr>
            <w:tcW w:w="1816"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《中华人民共和国政府信息公开条例》(国务院令第711号）、《中共中央 国务院关于推进安全生产领域改革发展的意见》</w:t>
            </w:r>
          </w:p>
        </w:tc>
        <w:tc>
          <w:tcPr>
            <w:tcW w:w="1220"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按进展情况及时公开</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r>
      <w:tr w:rsidR="005F30C6" w:rsidTr="00524536">
        <w:trPr>
          <w:trHeight w:val="2595"/>
        </w:trPr>
        <w:tc>
          <w:tcPr>
            <w:tcW w:w="1007" w:type="dxa"/>
            <w:vMerge/>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p>
        </w:tc>
        <w:tc>
          <w:tcPr>
            <w:tcW w:w="483" w:type="dxa"/>
            <w:vAlign w:val="center"/>
          </w:tcPr>
          <w:p w:rsidR="005F30C6" w:rsidRDefault="005F30C6" w:rsidP="00524536">
            <w:pPr>
              <w:widowControl/>
              <w:spacing w:line="28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2</w:t>
            </w:r>
          </w:p>
        </w:tc>
        <w:tc>
          <w:tcPr>
            <w:tcW w:w="977"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政务公开标准</w:t>
            </w:r>
          </w:p>
        </w:tc>
        <w:tc>
          <w:tcPr>
            <w:tcW w:w="186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政府信息公开指南等流程性信息</w:t>
            </w:r>
          </w:p>
        </w:tc>
        <w:tc>
          <w:tcPr>
            <w:tcW w:w="1816"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w:t>
            </w:r>
          </w:p>
        </w:tc>
        <w:tc>
          <w:tcPr>
            <w:tcW w:w="1220"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按进展情况及时公开</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r>
      <w:tr w:rsidR="005F30C6" w:rsidTr="00524536">
        <w:trPr>
          <w:trHeight w:val="2670"/>
        </w:trPr>
        <w:tc>
          <w:tcPr>
            <w:tcW w:w="1007" w:type="dxa"/>
            <w:vMerge w:val="restart"/>
            <w:vAlign w:val="center"/>
          </w:tcPr>
          <w:p w:rsidR="005F30C6" w:rsidRDefault="005F30C6" w:rsidP="00524536">
            <w:pPr>
              <w:widowControl/>
              <w:spacing w:line="280" w:lineRule="exact"/>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公共服务</w:t>
            </w:r>
          </w:p>
        </w:tc>
        <w:tc>
          <w:tcPr>
            <w:tcW w:w="483" w:type="dxa"/>
            <w:vAlign w:val="center"/>
          </w:tcPr>
          <w:p w:rsidR="005F30C6" w:rsidRDefault="005F30C6" w:rsidP="00524536">
            <w:pPr>
              <w:widowControl/>
              <w:spacing w:line="280" w:lineRule="exact"/>
              <w:jc w:val="righ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3</w:t>
            </w:r>
          </w:p>
        </w:tc>
        <w:tc>
          <w:tcPr>
            <w:tcW w:w="97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权力清单及责任清单</w:t>
            </w:r>
          </w:p>
        </w:tc>
        <w:tc>
          <w:tcPr>
            <w:tcW w:w="186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同级政府审批通过的行政执法主体信息和行政许可、行政处罚、行政强制、行政检查、行政确认、行政奖励及其他行政职权等行政执法职权职责清单</w:t>
            </w:r>
          </w:p>
        </w:tc>
        <w:tc>
          <w:tcPr>
            <w:tcW w:w="1816"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《中华人民共和国政府信息公开条例》(国务院令第711号）、《中共中央 国务院关于推进安全生产领域改革发展的意见》</w:t>
            </w:r>
          </w:p>
        </w:tc>
        <w:tc>
          <w:tcPr>
            <w:tcW w:w="1220"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信息形成或者变更20个工作日内，如有更新，及时公开</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r>
      <w:tr w:rsidR="005F30C6" w:rsidTr="00524536">
        <w:trPr>
          <w:trHeight w:val="2505"/>
        </w:trPr>
        <w:tc>
          <w:tcPr>
            <w:tcW w:w="1007" w:type="dxa"/>
            <w:vMerge/>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p>
        </w:tc>
        <w:tc>
          <w:tcPr>
            <w:tcW w:w="483" w:type="dxa"/>
            <w:vAlign w:val="center"/>
          </w:tcPr>
          <w:p w:rsidR="005F30C6" w:rsidRDefault="005F30C6" w:rsidP="00524536">
            <w:pPr>
              <w:widowControl/>
              <w:spacing w:line="280" w:lineRule="exact"/>
              <w:jc w:val="righ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4</w:t>
            </w:r>
          </w:p>
        </w:tc>
        <w:tc>
          <w:tcPr>
            <w:tcW w:w="97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主要业务办事指南</w:t>
            </w:r>
          </w:p>
        </w:tc>
        <w:tc>
          <w:tcPr>
            <w:tcW w:w="186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主要业务工作的办事依据、程序、时限，办事时间、地点、部门、联系方式及相关办理结果</w:t>
            </w:r>
          </w:p>
        </w:tc>
        <w:tc>
          <w:tcPr>
            <w:tcW w:w="1816"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《中华人民共和国政府信息公开条例》(国务院令第711号）、《中共中央 国务院关于推进安全生产领域改革发展的意见》</w:t>
            </w:r>
          </w:p>
        </w:tc>
        <w:tc>
          <w:tcPr>
            <w:tcW w:w="1220"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信息形成或者变更之日起20个工作日内</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r>
      <w:tr w:rsidR="005F30C6" w:rsidTr="00524536">
        <w:trPr>
          <w:trHeight w:val="2126"/>
        </w:trPr>
        <w:tc>
          <w:tcPr>
            <w:tcW w:w="1007" w:type="dxa"/>
            <w:vMerge/>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p>
        </w:tc>
        <w:tc>
          <w:tcPr>
            <w:tcW w:w="483" w:type="dxa"/>
            <w:vAlign w:val="center"/>
          </w:tcPr>
          <w:p w:rsidR="005F30C6" w:rsidRDefault="005F30C6" w:rsidP="00524536">
            <w:pPr>
              <w:widowControl/>
              <w:spacing w:line="280" w:lineRule="exact"/>
              <w:jc w:val="righ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5</w:t>
            </w:r>
          </w:p>
        </w:tc>
        <w:tc>
          <w:tcPr>
            <w:tcW w:w="97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年度报告</w:t>
            </w:r>
          </w:p>
        </w:tc>
        <w:tc>
          <w:tcPr>
            <w:tcW w:w="186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政府信息公开年度报告及相关统计报表</w:t>
            </w:r>
          </w:p>
        </w:tc>
        <w:tc>
          <w:tcPr>
            <w:tcW w:w="1816"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《中华人民共和国政府信息公开条例》(国务院令第711号）</w:t>
            </w:r>
          </w:p>
        </w:tc>
        <w:tc>
          <w:tcPr>
            <w:tcW w:w="1220"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每年1月31日前</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r>
      <w:tr w:rsidR="005F30C6" w:rsidTr="00524536">
        <w:trPr>
          <w:trHeight w:val="2745"/>
        </w:trPr>
        <w:tc>
          <w:tcPr>
            <w:tcW w:w="1007" w:type="dxa"/>
            <w:vMerge w:val="restart"/>
            <w:shd w:val="clear" w:color="auto" w:fill="auto"/>
            <w:vAlign w:val="center"/>
          </w:tcPr>
          <w:p w:rsidR="005F30C6" w:rsidRDefault="005F30C6" w:rsidP="00524536">
            <w:pPr>
              <w:widowControl/>
              <w:spacing w:line="280" w:lineRule="exact"/>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重点领域信息公开</w:t>
            </w:r>
          </w:p>
        </w:tc>
        <w:tc>
          <w:tcPr>
            <w:tcW w:w="483" w:type="dxa"/>
            <w:shd w:val="clear" w:color="auto" w:fill="FFFFFF"/>
            <w:vAlign w:val="center"/>
          </w:tcPr>
          <w:p w:rsidR="005F30C6" w:rsidRDefault="005F30C6" w:rsidP="00524536">
            <w:pPr>
              <w:widowControl/>
              <w:spacing w:line="280" w:lineRule="exact"/>
              <w:jc w:val="righ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w:t>
            </w:r>
          </w:p>
        </w:tc>
        <w:tc>
          <w:tcPr>
            <w:tcW w:w="97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财政资金信息</w:t>
            </w:r>
          </w:p>
        </w:tc>
        <w:tc>
          <w:tcPr>
            <w:tcW w:w="186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●预算、决算                       ●“三公”经费                     ●安全生产专项资金使用等财政资金信息</w:t>
            </w:r>
          </w:p>
        </w:tc>
        <w:tc>
          <w:tcPr>
            <w:tcW w:w="1816"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《中华人民共和国政府信息公开条例》(国务院令第711号）、《国务院关于深化预算管理制度改革的决定》、《国务院办公厅关于进一步推进预算公开工作意见的通知》</w:t>
            </w:r>
          </w:p>
        </w:tc>
        <w:tc>
          <w:tcPr>
            <w:tcW w:w="1220"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按中央要求时限公开</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5F30C6" w:rsidTr="00524536">
        <w:trPr>
          <w:trHeight w:val="306"/>
        </w:trPr>
        <w:tc>
          <w:tcPr>
            <w:tcW w:w="1007" w:type="dxa"/>
            <w:vMerge/>
            <w:shd w:val="clear" w:color="auto" w:fill="auto"/>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p>
        </w:tc>
        <w:tc>
          <w:tcPr>
            <w:tcW w:w="483" w:type="dxa"/>
            <w:shd w:val="clear" w:color="auto" w:fill="FFFFFF"/>
            <w:vAlign w:val="center"/>
          </w:tcPr>
          <w:p w:rsidR="005F30C6" w:rsidRDefault="005F30C6" w:rsidP="00524536">
            <w:pPr>
              <w:widowControl/>
              <w:spacing w:line="280" w:lineRule="exact"/>
              <w:jc w:val="righ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2</w:t>
            </w:r>
          </w:p>
        </w:tc>
        <w:tc>
          <w:tcPr>
            <w:tcW w:w="97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政府采购信息</w:t>
            </w:r>
          </w:p>
        </w:tc>
        <w:tc>
          <w:tcPr>
            <w:tcW w:w="186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本单位采购实施情况相关信息</w:t>
            </w:r>
          </w:p>
        </w:tc>
        <w:tc>
          <w:tcPr>
            <w:tcW w:w="1816"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《中华人民共和国政府信息公开条例》(国务院令第711号）,《国务院关于深化预算管理制度改革的决定》(国发〔2014〕45号),中办、国办印发《关于进一步推进预算公开工作的意见》的通知</w:t>
            </w:r>
          </w:p>
        </w:tc>
        <w:tc>
          <w:tcPr>
            <w:tcW w:w="1220"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按进展情况及时公开</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5F30C6" w:rsidTr="00524536">
        <w:trPr>
          <w:trHeight w:val="2735"/>
        </w:trPr>
        <w:tc>
          <w:tcPr>
            <w:tcW w:w="1007" w:type="dxa"/>
            <w:vMerge/>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p>
        </w:tc>
        <w:tc>
          <w:tcPr>
            <w:tcW w:w="483" w:type="dxa"/>
            <w:vAlign w:val="center"/>
          </w:tcPr>
          <w:p w:rsidR="005F30C6" w:rsidRDefault="005F30C6" w:rsidP="00524536">
            <w:pPr>
              <w:widowControl/>
              <w:spacing w:line="280" w:lineRule="exact"/>
              <w:jc w:val="righ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3</w:t>
            </w:r>
          </w:p>
        </w:tc>
        <w:tc>
          <w:tcPr>
            <w:tcW w:w="97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办事纪律和监督管理</w:t>
            </w:r>
          </w:p>
        </w:tc>
        <w:tc>
          <w:tcPr>
            <w:tcW w:w="1865"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本单位的办事纪律,受理投诉、举报、信访的途径等内容</w:t>
            </w:r>
          </w:p>
        </w:tc>
        <w:tc>
          <w:tcPr>
            <w:tcW w:w="1816"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《中华人民共和国政府信息公开条例》(国务院令第711号）、《中共中央 国务院关于推进安全生产领域改革发展的意见》</w:t>
            </w:r>
          </w:p>
        </w:tc>
        <w:tc>
          <w:tcPr>
            <w:tcW w:w="1220"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按进展情况及时公开</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5F30C6" w:rsidTr="00524536">
        <w:trPr>
          <w:trHeight w:val="2505"/>
        </w:trPr>
        <w:tc>
          <w:tcPr>
            <w:tcW w:w="1007" w:type="dxa"/>
            <w:vMerge w:val="restart"/>
            <w:vAlign w:val="center"/>
          </w:tcPr>
          <w:p w:rsidR="005F30C6" w:rsidRDefault="005F30C6" w:rsidP="00524536">
            <w:pPr>
              <w:widowControl/>
              <w:spacing w:line="280" w:lineRule="exact"/>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重点领域信息公开</w:t>
            </w:r>
          </w:p>
        </w:tc>
        <w:tc>
          <w:tcPr>
            <w:tcW w:w="483" w:type="dxa"/>
            <w:vAlign w:val="center"/>
          </w:tcPr>
          <w:p w:rsidR="005F30C6" w:rsidRDefault="005F30C6" w:rsidP="00524536">
            <w:pPr>
              <w:widowControl/>
              <w:spacing w:line="28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4</w:t>
            </w:r>
          </w:p>
        </w:tc>
        <w:tc>
          <w:tcPr>
            <w:tcW w:w="977"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重大工程项目信息</w:t>
            </w:r>
          </w:p>
        </w:tc>
        <w:tc>
          <w:tcPr>
            <w:tcW w:w="186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项目名称、执行措施、责任分工、取得成效、后续举措等</w:t>
            </w:r>
          </w:p>
        </w:tc>
        <w:tc>
          <w:tcPr>
            <w:tcW w:w="1816"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《中华人民共和国政府信息公开条例》(国务院令第711号）、《国务院办公厅关于推进重大建设项目批准和实施领域政府信息公开的意见》（国办发〔2017〕94号）</w:t>
            </w:r>
          </w:p>
        </w:tc>
        <w:tc>
          <w:tcPr>
            <w:tcW w:w="1220"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按照中央有关要求公开</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r>
      <w:tr w:rsidR="005F30C6" w:rsidTr="00524536">
        <w:trPr>
          <w:trHeight w:val="3015"/>
        </w:trPr>
        <w:tc>
          <w:tcPr>
            <w:tcW w:w="1007" w:type="dxa"/>
            <w:vMerge/>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p>
        </w:tc>
        <w:tc>
          <w:tcPr>
            <w:tcW w:w="483" w:type="dxa"/>
            <w:vAlign w:val="center"/>
          </w:tcPr>
          <w:p w:rsidR="005F30C6" w:rsidRDefault="005F30C6" w:rsidP="00524536">
            <w:pPr>
              <w:widowControl/>
              <w:spacing w:line="28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5</w:t>
            </w:r>
          </w:p>
        </w:tc>
        <w:tc>
          <w:tcPr>
            <w:tcW w:w="977"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检查和巡查发现安全监管监察问题</w:t>
            </w:r>
          </w:p>
        </w:tc>
        <w:tc>
          <w:tcPr>
            <w:tcW w:w="186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检查和巡查发现的、并要求向社会公开的问题及整改落实情况</w:t>
            </w:r>
          </w:p>
        </w:tc>
        <w:tc>
          <w:tcPr>
            <w:tcW w:w="1816" w:type="dxa"/>
            <w:vAlign w:val="center"/>
          </w:tcPr>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《中华人民共和国政府信息公开条例》(国务院令第711号）、《中共中央 国务院关于推进安全生产领域改革发展的意见》</w:t>
            </w:r>
          </w:p>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left"/>
              <w:rPr>
                <w:rFonts w:ascii="仿宋_GB2312" w:eastAsia="仿宋_GB2312" w:hAnsi="宋体" w:cs="宋体" w:hint="eastAsia"/>
                <w:b/>
                <w:bCs/>
                <w:color w:val="000000"/>
                <w:kern w:val="0"/>
                <w:sz w:val="18"/>
                <w:szCs w:val="18"/>
              </w:rPr>
            </w:pPr>
          </w:p>
          <w:p w:rsidR="005F30C6" w:rsidRDefault="005F30C6" w:rsidP="00524536">
            <w:pPr>
              <w:widowControl/>
              <w:spacing w:line="280" w:lineRule="exact"/>
              <w:jc w:val="left"/>
              <w:rPr>
                <w:rFonts w:ascii="仿宋_GB2312" w:eastAsia="仿宋_GB2312" w:hAnsi="宋体" w:cs="宋体"/>
                <w:b/>
                <w:bCs/>
                <w:color w:val="000000"/>
                <w:kern w:val="0"/>
                <w:sz w:val="18"/>
                <w:szCs w:val="18"/>
              </w:rPr>
            </w:pPr>
          </w:p>
        </w:tc>
        <w:tc>
          <w:tcPr>
            <w:tcW w:w="1220"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按进展情况及时公开</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5F30C6" w:rsidTr="00524536">
        <w:trPr>
          <w:trHeight w:val="302"/>
        </w:trPr>
        <w:tc>
          <w:tcPr>
            <w:tcW w:w="1007" w:type="dxa"/>
            <w:vMerge/>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p>
        </w:tc>
        <w:tc>
          <w:tcPr>
            <w:tcW w:w="483" w:type="dxa"/>
            <w:vAlign w:val="center"/>
          </w:tcPr>
          <w:p w:rsidR="005F30C6" w:rsidRDefault="005F30C6" w:rsidP="00524536">
            <w:pPr>
              <w:widowControl/>
              <w:spacing w:line="28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6</w:t>
            </w:r>
          </w:p>
        </w:tc>
        <w:tc>
          <w:tcPr>
            <w:tcW w:w="977"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建议提案办理</w:t>
            </w:r>
          </w:p>
        </w:tc>
        <w:tc>
          <w:tcPr>
            <w:tcW w:w="186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●办理制度与推进情况            ●人大代表建议办理              ●政协委员提案办理</w:t>
            </w:r>
          </w:p>
        </w:tc>
        <w:tc>
          <w:tcPr>
            <w:tcW w:w="1816"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《中华人民共和国政府信息公开条例》(国务院令第711号）、《国务院办公厅关于做好全国人大代表建议和全国政协委员提案办理结果公开工作的通知》（国办发〔2014〕46号）</w:t>
            </w:r>
          </w:p>
        </w:tc>
        <w:tc>
          <w:tcPr>
            <w:tcW w:w="1220"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按照中央有关要求公开</w:t>
            </w:r>
          </w:p>
        </w:tc>
        <w:tc>
          <w:tcPr>
            <w:tcW w:w="10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703"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52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9"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15"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5F30C6" w:rsidRDefault="005F30C6" w:rsidP="00524536">
            <w:pPr>
              <w:widowControl/>
              <w:spacing w:line="28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401" w:type="dxa"/>
            <w:vAlign w:val="center"/>
          </w:tcPr>
          <w:p w:rsidR="005F30C6" w:rsidRDefault="005F30C6" w:rsidP="00524536">
            <w:pPr>
              <w:widowControl/>
              <w:spacing w:line="28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r>
    </w:tbl>
    <w:p w:rsidR="005F30C6" w:rsidRDefault="005F30C6" w:rsidP="005F30C6">
      <w:pPr>
        <w:rPr>
          <w:rFonts w:eastAsia="仿宋_GB2312" w:hint="eastAsia"/>
        </w:rPr>
      </w:pPr>
    </w:p>
    <w:p w:rsidR="005F30C6" w:rsidRDefault="005F30C6" w:rsidP="005F30C6">
      <w:pPr>
        <w:rPr>
          <w:rFonts w:eastAsia="仿宋_GB2312" w:hint="eastAsia"/>
        </w:rPr>
      </w:pPr>
    </w:p>
    <w:p w:rsidR="005F30C6" w:rsidRDefault="005F30C6" w:rsidP="005F30C6">
      <w:pPr>
        <w:rPr>
          <w:rFonts w:eastAsia="仿宋_GB2312" w:hint="eastAsia"/>
        </w:rPr>
      </w:pPr>
    </w:p>
    <w:p w:rsidR="005F30C6" w:rsidRDefault="005F30C6" w:rsidP="005F30C6">
      <w:pPr>
        <w:rPr>
          <w:rFonts w:eastAsia="仿宋_GB2312" w:hint="eastAsia"/>
        </w:rPr>
      </w:pPr>
    </w:p>
    <w:sectPr w:rsidR="005F30C6" w:rsidSect="005F30C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CD8C4"/>
    <w:multiLevelType w:val="singleLevel"/>
    <w:tmpl w:val="434CD8C4"/>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30C6"/>
    <w:rsid w:val="0011487D"/>
    <w:rsid w:val="005F30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0C6"/>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sid w:val="005F30C6"/>
    <w:rPr>
      <w:sz w:val="18"/>
      <w:szCs w:val="18"/>
    </w:rPr>
  </w:style>
  <w:style w:type="character" w:styleId="a4">
    <w:name w:val="page number"/>
    <w:basedOn w:val="a0"/>
    <w:rsid w:val="005F30C6"/>
  </w:style>
  <w:style w:type="paragraph" w:styleId="a5">
    <w:name w:val="footer"/>
    <w:basedOn w:val="a"/>
    <w:link w:val="Char0"/>
    <w:rsid w:val="005F30C6"/>
    <w:pPr>
      <w:tabs>
        <w:tab w:val="center" w:pos="4153"/>
        <w:tab w:val="right" w:pos="8306"/>
      </w:tabs>
      <w:snapToGrid w:val="0"/>
      <w:jc w:val="left"/>
    </w:pPr>
    <w:rPr>
      <w:sz w:val="18"/>
      <w:szCs w:val="18"/>
    </w:rPr>
  </w:style>
  <w:style w:type="character" w:customStyle="1" w:styleId="Char0">
    <w:name w:val="页脚 Char"/>
    <w:basedOn w:val="a0"/>
    <w:link w:val="a5"/>
    <w:rsid w:val="005F30C6"/>
    <w:rPr>
      <w:rFonts w:ascii="Times New Roman" w:eastAsia="宋体" w:hAnsi="Times New Roman" w:cs="Times New Roman"/>
      <w:sz w:val="18"/>
      <w:szCs w:val="18"/>
    </w:rPr>
  </w:style>
  <w:style w:type="paragraph" w:styleId="a3">
    <w:name w:val="Balloon Text"/>
    <w:basedOn w:val="a"/>
    <w:link w:val="Char"/>
    <w:rsid w:val="005F30C6"/>
    <w:rPr>
      <w:rFonts w:asciiTheme="minorHAnsi" w:eastAsiaTheme="minorEastAsia" w:hAnsiTheme="minorHAnsi" w:cstheme="minorBidi"/>
      <w:sz w:val="18"/>
      <w:szCs w:val="18"/>
    </w:rPr>
  </w:style>
  <w:style w:type="character" w:customStyle="1" w:styleId="Char1">
    <w:name w:val="批注框文本 Char1"/>
    <w:basedOn w:val="a0"/>
    <w:link w:val="a3"/>
    <w:uiPriority w:val="99"/>
    <w:semiHidden/>
    <w:rsid w:val="005F30C6"/>
    <w:rPr>
      <w:rFonts w:ascii="Times New Roman" w:eastAsia="宋体" w:hAnsi="Times New Roman" w:cs="Times New Roman"/>
      <w:sz w:val="18"/>
      <w:szCs w:val="18"/>
    </w:rPr>
  </w:style>
  <w:style w:type="paragraph" w:styleId="a6">
    <w:name w:val="header"/>
    <w:basedOn w:val="a"/>
    <w:link w:val="Char2"/>
    <w:rsid w:val="005F30C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rsid w:val="005F30C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1003</Words>
  <Characters>5721</Characters>
  <Application>Microsoft Office Word</Application>
  <DocSecurity>0</DocSecurity>
  <Lines>47</Lines>
  <Paragraphs>13</Paragraphs>
  <ScaleCrop>false</ScaleCrop>
  <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2020-09-25T02:56:00Z</dcterms:created>
  <dcterms:modified xsi:type="dcterms:W3CDTF">2020-09-25T02:57:00Z</dcterms:modified>
</cp:coreProperties>
</file>