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1"/>
          <w:szCs w:val="31"/>
        </w:rPr>
      </w:pPr>
      <w:r>
        <w:rPr>
          <w:rFonts w:hint="eastAsia" w:ascii="仿宋_GB2312" w:eastAsia="仿宋_GB2312"/>
          <w:sz w:val="31"/>
          <w:szCs w:val="31"/>
          <w:lang w:eastAsia="zh-CN"/>
        </w:rPr>
        <w:t>宁德市文化和旅游局</w:t>
      </w:r>
      <w:r>
        <w:rPr>
          <w:rFonts w:hint="eastAsia" w:ascii="仿宋_GB2312" w:eastAsia="仿宋_GB2312"/>
          <w:sz w:val="31"/>
          <w:szCs w:val="31"/>
        </w:rPr>
        <w:t>基层政</w:t>
      </w:r>
      <w:bookmarkStart w:id="0" w:name="_GoBack"/>
      <w:bookmarkEnd w:id="0"/>
      <w:r>
        <w:rPr>
          <w:rFonts w:hint="eastAsia" w:ascii="仿宋_GB2312" w:eastAsia="仿宋_GB2312"/>
          <w:sz w:val="31"/>
          <w:szCs w:val="31"/>
        </w:rPr>
        <w:t>务公开标准目录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10"/>
        <w:gridCol w:w="1363"/>
        <w:gridCol w:w="1732"/>
        <w:gridCol w:w="2318"/>
        <w:gridCol w:w="1268"/>
        <w:gridCol w:w="846"/>
        <w:gridCol w:w="2454"/>
        <w:gridCol w:w="723"/>
        <w:gridCol w:w="696"/>
        <w:gridCol w:w="722"/>
        <w:gridCol w:w="696"/>
        <w:gridCol w:w="709"/>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09" w:type="dxa"/>
            <w:vMerge w:val="restart"/>
            <w:vAlign w:val="center"/>
          </w:tcPr>
          <w:p>
            <w:pPr>
              <w:jc w:val="center"/>
              <w:rPr>
                <w:rFonts w:hint="eastAsia" w:ascii="仿宋_GB2312" w:eastAsia="仿宋_GB2312"/>
                <w:sz w:val="22"/>
                <w:szCs w:val="22"/>
                <w:vertAlign w:val="baseline"/>
                <w:lang w:eastAsia="zh-CN"/>
              </w:rPr>
            </w:pPr>
            <w:r>
              <w:rPr>
                <w:rFonts w:hint="eastAsia" w:ascii="仿宋_GB2312" w:eastAsia="仿宋_GB2312"/>
                <w:sz w:val="22"/>
                <w:szCs w:val="22"/>
                <w:vertAlign w:val="baseline"/>
                <w:lang w:eastAsia="zh-CN"/>
              </w:rPr>
              <w:t>序号</w:t>
            </w:r>
          </w:p>
        </w:tc>
        <w:tc>
          <w:tcPr>
            <w:tcW w:w="2073" w:type="dxa"/>
            <w:gridSpan w:val="2"/>
            <w:vAlign w:val="center"/>
          </w:tcPr>
          <w:p>
            <w:pPr>
              <w:jc w:val="center"/>
              <w:rPr>
                <w:rFonts w:hint="eastAsia" w:ascii="仿宋_GB2312" w:eastAsia="仿宋_GB2312"/>
                <w:sz w:val="22"/>
                <w:szCs w:val="22"/>
                <w:vertAlign w:val="baseline"/>
              </w:rPr>
            </w:pPr>
            <w:r>
              <w:rPr>
                <w:rFonts w:hint="eastAsia" w:ascii="仿宋_GB2312" w:eastAsia="仿宋_GB2312"/>
                <w:sz w:val="22"/>
                <w:szCs w:val="22"/>
                <w:vertAlign w:val="baseline"/>
                <w:lang w:eastAsia="zh-CN"/>
              </w:rPr>
              <w:t>公开事项</w:t>
            </w:r>
          </w:p>
        </w:tc>
        <w:tc>
          <w:tcPr>
            <w:tcW w:w="1732" w:type="dxa"/>
            <w:vMerge w:val="restart"/>
            <w:vAlign w:val="center"/>
          </w:tcPr>
          <w:p>
            <w:pPr>
              <w:jc w:val="center"/>
              <w:rPr>
                <w:rFonts w:hint="eastAsia" w:ascii="仿宋_GB2312" w:eastAsia="仿宋_GB2312"/>
                <w:sz w:val="22"/>
                <w:szCs w:val="22"/>
                <w:vertAlign w:val="baseline"/>
                <w:lang w:eastAsia="zh-CN"/>
              </w:rPr>
            </w:pPr>
            <w:r>
              <w:rPr>
                <w:rFonts w:hint="eastAsia" w:ascii="仿宋_GB2312" w:eastAsia="仿宋_GB2312"/>
                <w:sz w:val="22"/>
                <w:szCs w:val="22"/>
                <w:vertAlign w:val="baseline"/>
                <w:lang w:eastAsia="zh-CN"/>
              </w:rPr>
              <w:t>公开内容（要素）</w:t>
            </w:r>
          </w:p>
        </w:tc>
        <w:tc>
          <w:tcPr>
            <w:tcW w:w="2318" w:type="dxa"/>
            <w:vMerge w:val="restart"/>
            <w:vAlign w:val="center"/>
          </w:tcPr>
          <w:p>
            <w:pPr>
              <w:jc w:val="center"/>
              <w:rPr>
                <w:rFonts w:hint="eastAsia" w:ascii="仿宋_GB2312" w:eastAsia="仿宋_GB2312"/>
                <w:sz w:val="22"/>
                <w:szCs w:val="22"/>
                <w:vertAlign w:val="baseline"/>
                <w:lang w:eastAsia="zh-CN"/>
              </w:rPr>
            </w:pPr>
            <w:r>
              <w:rPr>
                <w:rFonts w:hint="eastAsia" w:ascii="仿宋_GB2312" w:eastAsia="仿宋_GB2312"/>
                <w:sz w:val="22"/>
                <w:szCs w:val="22"/>
                <w:vertAlign w:val="baseline"/>
                <w:lang w:eastAsia="zh-CN"/>
              </w:rPr>
              <w:t>公开依据</w:t>
            </w:r>
          </w:p>
        </w:tc>
        <w:tc>
          <w:tcPr>
            <w:tcW w:w="1268" w:type="dxa"/>
            <w:vMerge w:val="restart"/>
            <w:vAlign w:val="center"/>
          </w:tcPr>
          <w:p>
            <w:pPr>
              <w:jc w:val="center"/>
              <w:rPr>
                <w:rFonts w:hint="eastAsia" w:ascii="仿宋_GB2312" w:eastAsia="仿宋_GB2312"/>
                <w:sz w:val="22"/>
                <w:szCs w:val="22"/>
                <w:vertAlign w:val="baseline"/>
                <w:lang w:eastAsia="zh-CN"/>
              </w:rPr>
            </w:pPr>
            <w:r>
              <w:rPr>
                <w:rFonts w:hint="eastAsia" w:ascii="仿宋_GB2312" w:eastAsia="仿宋_GB2312"/>
                <w:sz w:val="22"/>
                <w:szCs w:val="22"/>
                <w:vertAlign w:val="baseline"/>
                <w:lang w:eastAsia="zh-CN"/>
              </w:rPr>
              <w:t>公开时限</w:t>
            </w:r>
          </w:p>
        </w:tc>
        <w:tc>
          <w:tcPr>
            <w:tcW w:w="846" w:type="dxa"/>
            <w:vMerge w:val="restart"/>
            <w:vAlign w:val="center"/>
          </w:tcPr>
          <w:p>
            <w:pPr>
              <w:jc w:val="center"/>
              <w:rPr>
                <w:rFonts w:hint="default" w:ascii="仿宋_GB2312" w:eastAsia="仿宋_GB2312"/>
                <w:sz w:val="22"/>
                <w:szCs w:val="22"/>
                <w:vertAlign w:val="baseline"/>
                <w:lang w:val="en-US" w:eastAsia="zh-CN"/>
              </w:rPr>
            </w:pPr>
            <w:r>
              <w:rPr>
                <w:rFonts w:hint="eastAsia" w:ascii="仿宋_GB2312" w:eastAsia="仿宋_GB2312"/>
                <w:sz w:val="22"/>
                <w:szCs w:val="22"/>
                <w:vertAlign w:val="baseline"/>
                <w:lang w:eastAsia="zh-CN"/>
              </w:rPr>
              <w:t>公开主体</w:t>
            </w:r>
          </w:p>
        </w:tc>
        <w:tc>
          <w:tcPr>
            <w:tcW w:w="2454" w:type="dxa"/>
            <w:vMerge w:val="restart"/>
            <w:vAlign w:val="center"/>
          </w:tcPr>
          <w:p>
            <w:pPr>
              <w:jc w:val="center"/>
              <w:rPr>
                <w:rFonts w:hint="eastAsia" w:ascii="仿宋_GB2312" w:eastAsia="仿宋_GB2312"/>
                <w:sz w:val="22"/>
                <w:szCs w:val="22"/>
                <w:vertAlign w:val="baseline"/>
                <w:lang w:eastAsia="zh-CN"/>
              </w:rPr>
            </w:pPr>
            <w:r>
              <w:rPr>
                <w:rFonts w:hint="eastAsia" w:ascii="仿宋_GB2312" w:eastAsia="仿宋_GB2312"/>
                <w:sz w:val="22"/>
                <w:szCs w:val="22"/>
                <w:vertAlign w:val="baseline"/>
                <w:lang w:eastAsia="zh-CN"/>
              </w:rPr>
              <w:t>公开渠道和载体</w:t>
            </w:r>
          </w:p>
        </w:tc>
        <w:tc>
          <w:tcPr>
            <w:tcW w:w="1419" w:type="dxa"/>
            <w:gridSpan w:val="2"/>
            <w:vAlign w:val="center"/>
          </w:tcPr>
          <w:p>
            <w:pPr>
              <w:jc w:val="center"/>
              <w:rPr>
                <w:rFonts w:hint="eastAsia" w:ascii="仿宋_GB2312" w:eastAsia="仿宋_GB2312"/>
                <w:sz w:val="22"/>
                <w:szCs w:val="22"/>
                <w:vertAlign w:val="baseline"/>
              </w:rPr>
            </w:pPr>
            <w:r>
              <w:rPr>
                <w:rFonts w:hint="eastAsia" w:ascii="仿宋_GB2312" w:eastAsia="仿宋_GB2312"/>
                <w:sz w:val="22"/>
                <w:szCs w:val="22"/>
                <w:vertAlign w:val="baseline"/>
                <w:lang w:eastAsia="zh-CN"/>
              </w:rPr>
              <w:t>公开对象</w:t>
            </w:r>
          </w:p>
        </w:tc>
        <w:tc>
          <w:tcPr>
            <w:tcW w:w="1418" w:type="dxa"/>
            <w:gridSpan w:val="2"/>
            <w:vAlign w:val="center"/>
          </w:tcPr>
          <w:p>
            <w:pPr>
              <w:jc w:val="center"/>
              <w:rPr>
                <w:rFonts w:hint="eastAsia" w:ascii="仿宋_GB2312" w:eastAsia="仿宋_GB2312"/>
                <w:sz w:val="22"/>
                <w:szCs w:val="22"/>
                <w:vertAlign w:val="baseline"/>
              </w:rPr>
            </w:pPr>
            <w:r>
              <w:rPr>
                <w:rFonts w:hint="eastAsia" w:ascii="仿宋_GB2312" w:eastAsia="仿宋_GB2312"/>
                <w:sz w:val="22"/>
                <w:szCs w:val="22"/>
                <w:vertAlign w:val="baseline"/>
                <w:lang w:eastAsia="zh-CN"/>
              </w:rPr>
              <w:t>公开方式</w:t>
            </w:r>
          </w:p>
        </w:tc>
        <w:tc>
          <w:tcPr>
            <w:tcW w:w="1377" w:type="dxa"/>
            <w:gridSpan w:val="2"/>
            <w:vAlign w:val="center"/>
          </w:tcPr>
          <w:p>
            <w:pPr>
              <w:jc w:val="center"/>
              <w:rPr>
                <w:rFonts w:hint="eastAsia" w:ascii="仿宋_GB2312" w:eastAsia="仿宋_GB2312"/>
                <w:sz w:val="22"/>
                <w:szCs w:val="22"/>
                <w:vertAlign w:val="baseline"/>
              </w:rPr>
            </w:pPr>
            <w:r>
              <w:rPr>
                <w:rFonts w:hint="eastAsia" w:ascii="仿宋_GB2312" w:eastAsia="仿宋_GB2312"/>
                <w:sz w:val="22"/>
                <w:szCs w:val="22"/>
                <w:vertAlign w:val="baseline"/>
                <w:lang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rFonts w:hint="eastAsia" w:ascii="仿宋_GB2312" w:eastAsia="仿宋_GB2312"/>
                <w:sz w:val="22"/>
                <w:szCs w:val="22"/>
                <w:vertAlign w:val="baseline"/>
              </w:rPr>
            </w:pPr>
          </w:p>
        </w:tc>
        <w:tc>
          <w:tcPr>
            <w:tcW w:w="710" w:type="dxa"/>
            <w:vAlign w:val="center"/>
          </w:tcPr>
          <w:p>
            <w:pPr>
              <w:jc w:val="center"/>
              <w:rPr>
                <w:rFonts w:hint="eastAsia" w:ascii="仿宋_GB2312" w:eastAsia="仿宋_GB2312"/>
                <w:sz w:val="22"/>
                <w:szCs w:val="22"/>
                <w:vertAlign w:val="baseline"/>
                <w:lang w:eastAsia="zh-CN"/>
              </w:rPr>
            </w:pPr>
            <w:r>
              <w:rPr>
                <w:rFonts w:hint="eastAsia" w:ascii="仿宋_GB2312" w:eastAsia="仿宋_GB2312"/>
                <w:sz w:val="22"/>
                <w:szCs w:val="22"/>
                <w:vertAlign w:val="baseline"/>
                <w:lang w:eastAsia="zh-CN"/>
              </w:rPr>
              <w:t>一级</w:t>
            </w:r>
          </w:p>
          <w:p>
            <w:pPr>
              <w:jc w:val="center"/>
              <w:rPr>
                <w:rFonts w:hint="eastAsia" w:ascii="仿宋_GB2312" w:eastAsia="仿宋_GB2312"/>
                <w:sz w:val="22"/>
                <w:szCs w:val="22"/>
                <w:vertAlign w:val="baseline"/>
                <w:lang w:eastAsia="zh-CN"/>
              </w:rPr>
            </w:pPr>
            <w:r>
              <w:rPr>
                <w:rFonts w:hint="eastAsia" w:ascii="仿宋_GB2312" w:eastAsia="仿宋_GB2312"/>
                <w:sz w:val="22"/>
                <w:szCs w:val="22"/>
                <w:vertAlign w:val="baseline"/>
                <w:lang w:eastAsia="zh-CN"/>
              </w:rPr>
              <w:t>事项</w:t>
            </w:r>
          </w:p>
        </w:tc>
        <w:tc>
          <w:tcPr>
            <w:tcW w:w="1363" w:type="dxa"/>
            <w:vAlign w:val="center"/>
          </w:tcPr>
          <w:p>
            <w:pPr>
              <w:jc w:val="center"/>
              <w:rPr>
                <w:rFonts w:hint="eastAsia" w:ascii="仿宋_GB2312" w:eastAsia="仿宋_GB2312"/>
                <w:sz w:val="22"/>
                <w:szCs w:val="22"/>
                <w:vertAlign w:val="baseline"/>
                <w:lang w:eastAsia="zh-CN"/>
              </w:rPr>
            </w:pPr>
            <w:r>
              <w:rPr>
                <w:rFonts w:hint="eastAsia" w:ascii="仿宋_GB2312" w:eastAsia="仿宋_GB2312"/>
                <w:sz w:val="22"/>
                <w:szCs w:val="22"/>
                <w:vertAlign w:val="baseline"/>
                <w:lang w:eastAsia="zh-CN"/>
              </w:rPr>
              <w:t>二级</w:t>
            </w:r>
          </w:p>
          <w:p>
            <w:pPr>
              <w:jc w:val="center"/>
              <w:rPr>
                <w:rFonts w:hint="eastAsia" w:ascii="仿宋_GB2312" w:eastAsia="仿宋_GB2312"/>
                <w:sz w:val="22"/>
                <w:szCs w:val="22"/>
                <w:vertAlign w:val="baseline"/>
                <w:lang w:eastAsia="zh-CN"/>
              </w:rPr>
            </w:pPr>
            <w:r>
              <w:rPr>
                <w:rFonts w:hint="eastAsia" w:ascii="仿宋_GB2312" w:eastAsia="仿宋_GB2312"/>
                <w:sz w:val="22"/>
                <w:szCs w:val="22"/>
                <w:vertAlign w:val="baseline"/>
                <w:lang w:eastAsia="zh-CN"/>
              </w:rPr>
              <w:t>事项</w:t>
            </w:r>
          </w:p>
        </w:tc>
        <w:tc>
          <w:tcPr>
            <w:tcW w:w="1732" w:type="dxa"/>
            <w:vMerge w:val="continue"/>
            <w:vAlign w:val="center"/>
          </w:tcPr>
          <w:p>
            <w:pPr>
              <w:jc w:val="center"/>
              <w:rPr>
                <w:rFonts w:hint="eastAsia" w:ascii="仿宋_GB2312" w:eastAsia="仿宋_GB2312"/>
                <w:sz w:val="22"/>
                <w:szCs w:val="22"/>
                <w:vertAlign w:val="baseline"/>
              </w:rPr>
            </w:pPr>
          </w:p>
        </w:tc>
        <w:tc>
          <w:tcPr>
            <w:tcW w:w="2318" w:type="dxa"/>
            <w:vMerge w:val="continue"/>
            <w:vAlign w:val="center"/>
          </w:tcPr>
          <w:p>
            <w:pPr>
              <w:jc w:val="center"/>
              <w:rPr>
                <w:rFonts w:hint="eastAsia" w:ascii="仿宋_GB2312" w:eastAsia="仿宋_GB2312"/>
                <w:sz w:val="22"/>
                <w:szCs w:val="22"/>
                <w:vertAlign w:val="baseline"/>
              </w:rPr>
            </w:pPr>
          </w:p>
        </w:tc>
        <w:tc>
          <w:tcPr>
            <w:tcW w:w="1268" w:type="dxa"/>
            <w:vMerge w:val="continue"/>
            <w:vAlign w:val="center"/>
          </w:tcPr>
          <w:p>
            <w:pPr>
              <w:jc w:val="center"/>
              <w:rPr>
                <w:rFonts w:hint="eastAsia" w:ascii="仿宋_GB2312" w:eastAsia="仿宋_GB2312"/>
                <w:sz w:val="22"/>
                <w:szCs w:val="22"/>
                <w:vertAlign w:val="baseline"/>
              </w:rPr>
            </w:pPr>
          </w:p>
        </w:tc>
        <w:tc>
          <w:tcPr>
            <w:tcW w:w="846" w:type="dxa"/>
            <w:vMerge w:val="continue"/>
            <w:vAlign w:val="center"/>
          </w:tcPr>
          <w:p>
            <w:pPr>
              <w:jc w:val="center"/>
              <w:rPr>
                <w:rFonts w:hint="eastAsia" w:ascii="仿宋_GB2312" w:eastAsia="仿宋_GB2312"/>
                <w:sz w:val="22"/>
                <w:szCs w:val="22"/>
                <w:vertAlign w:val="baseline"/>
              </w:rPr>
            </w:pPr>
          </w:p>
        </w:tc>
        <w:tc>
          <w:tcPr>
            <w:tcW w:w="2454" w:type="dxa"/>
            <w:vMerge w:val="continue"/>
            <w:vAlign w:val="center"/>
          </w:tcPr>
          <w:p>
            <w:pPr>
              <w:jc w:val="center"/>
              <w:rPr>
                <w:rFonts w:hint="eastAsia" w:ascii="仿宋_GB2312" w:eastAsia="仿宋_GB2312"/>
                <w:sz w:val="22"/>
                <w:szCs w:val="22"/>
                <w:vertAlign w:val="baseline"/>
              </w:rPr>
            </w:pPr>
          </w:p>
        </w:tc>
        <w:tc>
          <w:tcPr>
            <w:tcW w:w="723" w:type="dxa"/>
            <w:vAlign w:val="center"/>
          </w:tcPr>
          <w:p>
            <w:pPr>
              <w:jc w:val="center"/>
              <w:rPr>
                <w:rFonts w:hint="eastAsia" w:ascii="仿宋_GB2312" w:eastAsia="仿宋_GB2312"/>
                <w:sz w:val="22"/>
                <w:szCs w:val="22"/>
                <w:vertAlign w:val="baseline"/>
                <w:lang w:eastAsia="zh-CN"/>
              </w:rPr>
            </w:pPr>
            <w:r>
              <w:rPr>
                <w:rFonts w:hint="eastAsia" w:ascii="仿宋_GB2312" w:eastAsia="仿宋_GB2312"/>
                <w:sz w:val="22"/>
                <w:szCs w:val="22"/>
                <w:vertAlign w:val="baseline"/>
                <w:lang w:eastAsia="zh-CN"/>
              </w:rPr>
              <w:t>全社会</w:t>
            </w:r>
          </w:p>
        </w:tc>
        <w:tc>
          <w:tcPr>
            <w:tcW w:w="696" w:type="dxa"/>
            <w:vAlign w:val="center"/>
          </w:tcPr>
          <w:p>
            <w:pPr>
              <w:jc w:val="center"/>
              <w:rPr>
                <w:rFonts w:hint="eastAsia" w:ascii="仿宋_GB2312" w:eastAsia="仿宋_GB2312"/>
                <w:sz w:val="22"/>
                <w:szCs w:val="22"/>
                <w:vertAlign w:val="baseline"/>
                <w:lang w:eastAsia="zh-CN"/>
              </w:rPr>
            </w:pPr>
            <w:r>
              <w:rPr>
                <w:rFonts w:hint="eastAsia" w:ascii="仿宋_GB2312" w:eastAsia="仿宋_GB2312"/>
                <w:sz w:val="22"/>
                <w:szCs w:val="22"/>
                <w:vertAlign w:val="baseline"/>
                <w:lang w:eastAsia="zh-CN"/>
              </w:rPr>
              <w:t>特定群体</w:t>
            </w:r>
          </w:p>
        </w:tc>
        <w:tc>
          <w:tcPr>
            <w:tcW w:w="722" w:type="dxa"/>
            <w:vAlign w:val="center"/>
          </w:tcPr>
          <w:p>
            <w:pPr>
              <w:jc w:val="center"/>
              <w:rPr>
                <w:rFonts w:hint="eastAsia" w:ascii="仿宋_GB2312" w:eastAsia="仿宋_GB2312"/>
                <w:sz w:val="22"/>
                <w:szCs w:val="22"/>
                <w:vertAlign w:val="baseline"/>
                <w:lang w:eastAsia="zh-CN"/>
              </w:rPr>
            </w:pPr>
            <w:r>
              <w:rPr>
                <w:rFonts w:hint="eastAsia" w:ascii="仿宋_GB2312" w:eastAsia="仿宋_GB2312"/>
                <w:sz w:val="22"/>
                <w:szCs w:val="22"/>
                <w:vertAlign w:val="baseline"/>
                <w:lang w:eastAsia="zh-CN"/>
              </w:rPr>
              <w:t>主动</w:t>
            </w:r>
          </w:p>
        </w:tc>
        <w:tc>
          <w:tcPr>
            <w:tcW w:w="696" w:type="dxa"/>
            <w:vAlign w:val="center"/>
          </w:tcPr>
          <w:p>
            <w:pPr>
              <w:jc w:val="center"/>
              <w:rPr>
                <w:rFonts w:hint="eastAsia" w:ascii="仿宋_GB2312" w:eastAsia="仿宋_GB2312"/>
                <w:sz w:val="22"/>
                <w:szCs w:val="22"/>
                <w:vertAlign w:val="baseline"/>
                <w:lang w:eastAsia="zh-CN"/>
              </w:rPr>
            </w:pPr>
            <w:r>
              <w:rPr>
                <w:rFonts w:hint="eastAsia" w:ascii="仿宋_GB2312" w:eastAsia="仿宋_GB2312"/>
                <w:sz w:val="22"/>
                <w:szCs w:val="22"/>
                <w:vertAlign w:val="baseline"/>
                <w:lang w:eastAsia="zh-CN"/>
              </w:rPr>
              <w:t>依申请</w:t>
            </w:r>
          </w:p>
        </w:tc>
        <w:tc>
          <w:tcPr>
            <w:tcW w:w="709" w:type="dxa"/>
            <w:vAlign w:val="center"/>
          </w:tcPr>
          <w:p>
            <w:pPr>
              <w:jc w:val="center"/>
              <w:rPr>
                <w:rFonts w:hint="eastAsia" w:ascii="仿宋_GB2312" w:eastAsia="仿宋_GB2312"/>
                <w:sz w:val="22"/>
                <w:szCs w:val="22"/>
                <w:vertAlign w:val="baseline"/>
                <w:lang w:eastAsia="zh-CN"/>
              </w:rPr>
            </w:pPr>
            <w:r>
              <w:rPr>
                <w:rFonts w:hint="eastAsia" w:ascii="仿宋_GB2312" w:eastAsia="仿宋_GB2312"/>
                <w:sz w:val="22"/>
                <w:szCs w:val="22"/>
                <w:vertAlign w:val="baseline"/>
                <w:lang w:eastAsia="zh-CN"/>
              </w:rPr>
              <w:t>县级</w:t>
            </w:r>
          </w:p>
        </w:tc>
        <w:tc>
          <w:tcPr>
            <w:tcW w:w="668" w:type="dxa"/>
            <w:vAlign w:val="center"/>
          </w:tcPr>
          <w:p>
            <w:pPr>
              <w:jc w:val="center"/>
              <w:rPr>
                <w:rFonts w:hint="eastAsia" w:ascii="仿宋_GB2312" w:eastAsia="仿宋_GB2312"/>
                <w:sz w:val="22"/>
                <w:szCs w:val="22"/>
                <w:vertAlign w:val="baseline"/>
                <w:lang w:eastAsia="zh-CN"/>
              </w:rPr>
            </w:pPr>
            <w:r>
              <w:rPr>
                <w:rFonts w:hint="eastAsia" w:ascii="仿宋_GB2312" w:eastAsia="仿宋_GB2312"/>
                <w:sz w:val="22"/>
                <w:szCs w:val="22"/>
                <w:vertAlign w:val="baseline"/>
                <w:lang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w:t>
            </w:r>
          </w:p>
        </w:tc>
        <w:tc>
          <w:tcPr>
            <w:tcW w:w="710" w:type="dxa"/>
            <w:vMerge w:val="restart"/>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行政许可</w:t>
            </w:r>
          </w:p>
        </w:tc>
        <w:tc>
          <w:tcPr>
            <w:tcW w:w="1363" w:type="dxa"/>
            <w:vAlign w:val="center"/>
          </w:tcPr>
          <w:p>
            <w:pPr>
              <w:jc w:val="left"/>
              <w:rPr>
                <w:rFonts w:hint="eastAsia" w:ascii="仿宋_GB2312" w:eastAsia="仿宋_GB2312"/>
                <w:sz w:val="20"/>
                <w:szCs w:val="20"/>
                <w:vertAlign w:val="baseline"/>
              </w:rPr>
            </w:pPr>
            <w:r>
              <w:rPr>
                <w:rFonts w:hint="eastAsia" w:ascii="仿宋_GB2312" w:eastAsia="仿宋_GB2312"/>
                <w:sz w:val="20"/>
                <w:szCs w:val="20"/>
                <w:vertAlign w:val="baseline"/>
              </w:rPr>
              <w:t>互联网上网服务营业场所审批</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1.办事指南：主要包括基本信息、申请条件及方式、申报材料、收费情况、办理流程、办理依据、办事评价、常见问题。</w:t>
            </w:r>
          </w:p>
          <w:p>
            <w:pPr>
              <w:jc w:val="left"/>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2.行政许可决定</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1.《中华人民共和国行政许可法》；</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2.《中华人民共和国政府信息公开条例》；</w:t>
            </w:r>
          </w:p>
          <w:p>
            <w:pPr>
              <w:jc w:val="left"/>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3.《互联网上网服务营业场所管理条例》</w:t>
            </w:r>
          </w:p>
        </w:tc>
        <w:tc>
          <w:tcPr>
            <w:tcW w:w="1268" w:type="dxa"/>
            <w:vAlign w:val="center"/>
          </w:tcPr>
          <w:p>
            <w:pPr>
              <w:jc w:val="left"/>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default" w:ascii="仿宋_GB2312" w:eastAsia="仿宋_GB2312"/>
                <w:sz w:val="20"/>
                <w:szCs w:val="20"/>
                <w:vertAlign w:val="baseline"/>
                <w:lang w:val="en-US" w:eastAsia="zh-CN"/>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sz w:val="20"/>
                <w:szCs w:val="20"/>
                <w:vertAlign w:val="baseline"/>
              </w:rPr>
            </w:pPr>
          </w:p>
        </w:tc>
        <w:tc>
          <w:tcPr>
            <w:tcW w:w="722" w:type="dxa"/>
            <w:vAlign w:val="center"/>
          </w:tcPr>
          <w:p>
            <w:pPr>
              <w:jc w:val="center"/>
              <w:rPr>
                <w:rFonts w:hint="eastAsia" w:ascii="仿宋_GB2312" w:eastAsia="仿宋_GB2312"/>
                <w:sz w:val="20"/>
                <w:szCs w:val="20"/>
                <w:vertAlign w:val="baseline"/>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sz w:val="20"/>
                <w:szCs w:val="20"/>
                <w:vertAlign w:val="baseline"/>
              </w:rPr>
            </w:pPr>
          </w:p>
        </w:tc>
        <w:tc>
          <w:tcPr>
            <w:tcW w:w="709" w:type="dxa"/>
            <w:vAlign w:val="center"/>
          </w:tcPr>
          <w:p>
            <w:pPr>
              <w:jc w:val="center"/>
              <w:rPr>
                <w:rFonts w:hint="eastAsia" w:ascii="仿宋_GB2312" w:eastAsia="仿宋_GB2312"/>
                <w:sz w:val="20"/>
                <w:szCs w:val="20"/>
                <w:vertAlign w:val="baseline"/>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文艺表演团体设立审批</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1.办事指南：主要包括基本信息、申请条件及方式、申报材料、收费情况、办理流程、办理依据、办事评价、常见问题。</w:t>
            </w:r>
          </w:p>
          <w:p>
            <w:pPr>
              <w:jc w:val="left"/>
              <w:rPr>
                <w:rFonts w:hint="eastAsia" w:ascii="仿宋_GB2312" w:eastAsia="仿宋_GB2312"/>
                <w:sz w:val="20"/>
                <w:szCs w:val="20"/>
                <w:vertAlign w:val="baseline"/>
              </w:rPr>
            </w:pPr>
            <w:r>
              <w:rPr>
                <w:rFonts w:hint="eastAsia" w:ascii="仿宋_GB2312" w:eastAsia="仿宋_GB2312"/>
                <w:sz w:val="20"/>
                <w:szCs w:val="20"/>
                <w:vertAlign w:val="baseline"/>
                <w:lang w:val="en-US" w:eastAsia="zh-CN"/>
              </w:rPr>
              <w:t>2.行政许可决定</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1.《中华人民共和国行政许可法》；</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2.《中华人民共和国政府信息公开条例》；</w:t>
            </w:r>
          </w:p>
          <w:p>
            <w:pPr>
              <w:jc w:val="left"/>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3.《营业性演出管理条例》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举办营业性演出审批</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1.办事指南：主要包括基本信息、申请条件及方式、申报材料、收费情况、办理流程、办理依据、办事评价、常见问题。</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2.行政许可决定</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1.《中华人民共和国行政许可法》；</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2.《中华人民共和国政府信息公开条例》；</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3.《营业性演出管理条例》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0"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4</w:t>
            </w:r>
          </w:p>
        </w:tc>
        <w:tc>
          <w:tcPr>
            <w:tcW w:w="710" w:type="dxa"/>
            <w:vMerge w:val="restart"/>
            <w:vAlign w:val="center"/>
          </w:tcPr>
          <w:p>
            <w:pPr>
              <w:jc w:val="left"/>
              <w:rPr>
                <w:rFonts w:hint="eastAsia" w:ascii="仿宋_GB2312" w:eastAsia="仿宋_GB2312"/>
                <w:sz w:val="20"/>
                <w:szCs w:val="20"/>
                <w:vertAlign w:val="baseline"/>
              </w:rPr>
            </w:pPr>
            <w:r>
              <w:rPr>
                <w:rFonts w:hint="eastAsia" w:ascii="仿宋_GB2312" w:eastAsia="仿宋_GB2312"/>
                <w:sz w:val="20"/>
                <w:szCs w:val="20"/>
                <w:vertAlign w:val="baseline"/>
                <w:lang w:eastAsia="zh-CN"/>
              </w:rPr>
              <w:t>行政许可</w:t>
            </w: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从事娱乐场所经营活动审批</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1.办事指南：主要包括基本信息、申请条件及方式、申报材料、收费情况、办理流程、办理依据、办事评价、常见问题。</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2.行政许可决定</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1.《中华人民共和国行政许可法》；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2.《中华人民共和国政府信息公开条例》；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2"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5</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电影放映经营许可证核发</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1.办事指南：主要包括基本信息、申请条件及方式、申报材料、收费情况、办理流程、办理依据、办事评价、常见问题。</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2.行政许可决定</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1.《中华人民共和国行政许可法》；</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2.《中华人民共和国政府信息公开条例》；</w:t>
            </w:r>
          </w:p>
          <w:p>
            <w:pPr>
              <w:jc w:val="left"/>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3.《电影管理条例》；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6"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6</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从事音像制品制作业务审批</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1.办事指南：主要包括基本信息、申请条件及方式、申报材料、收费情况、办理流程、办理依据、办事评价、常见问题。</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2.行政许可决定</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1.《中华人民共和国行政许可法》；</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2.《中华人民共和国政府信息公开条例》；</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3.《音像制品管理条例》；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6"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7</w:t>
            </w:r>
          </w:p>
        </w:tc>
        <w:tc>
          <w:tcPr>
            <w:tcW w:w="710" w:type="dxa"/>
            <w:vMerge w:val="restart"/>
            <w:vAlign w:val="center"/>
          </w:tcPr>
          <w:p>
            <w:pPr>
              <w:jc w:val="left"/>
              <w:rPr>
                <w:rFonts w:hint="eastAsia" w:ascii="仿宋_GB2312" w:eastAsia="仿宋_GB2312"/>
                <w:sz w:val="20"/>
                <w:szCs w:val="20"/>
                <w:vertAlign w:val="baseline"/>
              </w:rPr>
            </w:pPr>
            <w:r>
              <w:rPr>
                <w:rFonts w:hint="eastAsia" w:ascii="仿宋_GB2312" w:eastAsia="仿宋_GB2312"/>
                <w:sz w:val="20"/>
                <w:szCs w:val="20"/>
                <w:vertAlign w:val="baseline"/>
                <w:lang w:eastAsia="zh-CN"/>
              </w:rPr>
              <w:t>行政许可</w:t>
            </w: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文物保护单位实施保护措施的审批</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1.办事指南：主要包括基本信息、申请条件及方式、申报材料、收费情况、办理流程、办理依据、办事评价、常见问题。</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2.行政许可决定</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1.《中华人民共和国行政许可法》；</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2.《中华人民共和国政府信息公开条例》；</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3.《文物保护法》；</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9"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8</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建设工程文物保护和考古许可</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1.办事指南：主要包括基本信息、申请条件及方式、申报材料、收费情况、办理流程、办理依据、办事评价、常见问题。</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2.行政许可决定</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1.《中华人民共和国行政许可法》；</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2.《中华人民共和国政府信息公开条例》；</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3.《文物保护法》；</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7"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9</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文物保护单位保护范围内的土地征收(用)审批</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1.办事指南：主要包括基本信息、申请条件及方式、申报材料、收费情况、办理流程、办理依据、办事评价、常见问题。</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2.行政许可决定</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1.《中华人民共和国行政许可法》；</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2.《中华人民共和国政府信息公开条例》；</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3.《文物保护法》；</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2"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10</w:t>
            </w:r>
          </w:p>
        </w:tc>
        <w:tc>
          <w:tcPr>
            <w:tcW w:w="710" w:type="dxa"/>
            <w:vMerge w:val="restart"/>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行政处罚</w:t>
            </w: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对互联网上网服务营业场所违法行为的行政处罚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《互联网上网服务营业场所管理条例》</w:t>
            </w:r>
          </w:p>
        </w:tc>
        <w:tc>
          <w:tcPr>
            <w:tcW w:w="1268" w:type="dxa"/>
            <w:vAlign w:val="center"/>
          </w:tcPr>
          <w:p>
            <w:pPr>
              <w:jc w:val="left"/>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4"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11</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对娱乐场所违法行为的行政处罚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1.《娱乐场所管理条例》</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2.《娱乐场所管理办法》</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6"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12</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对营业性演出违法行为的行政处罚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1.《营业性演出管理条例》</w:t>
            </w:r>
          </w:p>
          <w:p>
            <w:pPr>
              <w:jc w:val="left"/>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2.《营业性演出管理条例实施细则》</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13</w:t>
            </w:r>
          </w:p>
        </w:tc>
        <w:tc>
          <w:tcPr>
            <w:tcW w:w="710" w:type="dxa"/>
            <w:vMerge w:val="restart"/>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行政处罚</w:t>
            </w: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对艺术品经营违法行为的行政处罚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 xml:space="preserve"> 《艺术品经营管理办法》</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6"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14</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对社会艺术水平考级违法行为的行政处罚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《社会艺术水平考级管理办法》</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6"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15</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对互联网文化单位违法行为的行政处罚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《互联网文化管理暂行规定》</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3"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16</w:t>
            </w:r>
          </w:p>
        </w:tc>
        <w:tc>
          <w:tcPr>
            <w:tcW w:w="710" w:type="dxa"/>
            <w:vMerge w:val="restart"/>
            <w:vAlign w:val="center"/>
          </w:tcPr>
          <w:p>
            <w:pPr>
              <w:jc w:val="left"/>
              <w:rPr>
                <w:rFonts w:hint="eastAsia" w:ascii="仿宋_GB2312" w:eastAsia="仿宋_GB2312"/>
                <w:sz w:val="20"/>
                <w:szCs w:val="20"/>
                <w:vertAlign w:val="baseline"/>
              </w:rPr>
            </w:pPr>
            <w:r>
              <w:rPr>
                <w:rFonts w:hint="eastAsia" w:ascii="仿宋_GB2312" w:eastAsia="仿宋_GB2312"/>
                <w:sz w:val="20"/>
                <w:szCs w:val="20"/>
                <w:vertAlign w:val="baseline"/>
                <w:lang w:eastAsia="zh-CN"/>
              </w:rPr>
              <w:t>行政处罚</w:t>
            </w: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 xml:space="preserve">对擅自在文物保护单位的保护范围内进行建设工程或者爆破、钻探、挖掘等作业的处罚 </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17</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对工程设计方案未经批准同意在文物保护单位的建设控制地带内进行建设工程对文物保护单位的历史风貌造成破坏的处罚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18</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对擅自迁移、拆除不可移动文物的处罚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19</w:t>
            </w:r>
          </w:p>
        </w:tc>
        <w:tc>
          <w:tcPr>
            <w:tcW w:w="710" w:type="dxa"/>
            <w:vMerge w:val="restart"/>
            <w:vAlign w:val="center"/>
          </w:tcPr>
          <w:p>
            <w:pPr>
              <w:jc w:val="left"/>
              <w:rPr>
                <w:rFonts w:hint="eastAsia" w:ascii="仿宋_GB2312" w:eastAsia="仿宋_GB2312"/>
                <w:sz w:val="20"/>
                <w:szCs w:val="20"/>
                <w:vertAlign w:val="baseline"/>
              </w:rPr>
            </w:pPr>
            <w:r>
              <w:rPr>
                <w:rFonts w:hint="eastAsia" w:ascii="仿宋_GB2312" w:eastAsia="仿宋_GB2312"/>
                <w:sz w:val="20"/>
                <w:szCs w:val="20"/>
                <w:vertAlign w:val="baseline"/>
                <w:lang w:eastAsia="zh-CN"/>
              </w:rPr>
              <w:t>行政处罚</w:t>
            </w: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对擅自修缮不可移动文物，明显改变文物原状的处罚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20</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对擅自在原址重建已全部毁坏的不可移动文物，造成文物破坏的处罚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21</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对施工单位未取得文物保护工程资质证书，擅自从事文物修缮、迁移、重建的处罚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22</w:t>
            </w:r>
          </w:p>
        </w:tc>
        <w:tc>
          <w:tcPr>
            <w:tcW w:w="710" w:type="dxa"/>
            <w:vMerge w:val="restart"/>
            <w:vAlign w:val="center"/>
          </w:tcPr>
          <w:p>
            <w:pPr>
              <w:jc w:val="left"/>
              <w:rPr>
                <w:rFonts w:hint="eastAsia" w:ascii="仿宋_GB2312" w:eastAsia="仿宋_GB2312"/>
                <w:sz w:val="20"/>
                <w:szCs w:val="20"/>
                <w:vertAlign w:val="baseline"/>
              </w:rPr>
            </w:pPr>
            <w:r>
              <w:rPr>
                <w:rFonts w:hint="eastAsia" w:ascii="仿宋_GB2312" w:eastAsia="仿宋_GB2312"/>
                <w:sz w:val="20"/>
                <w:szCs w:val="20"/>
                <w:vertAlign w:val="baseline"/>
                <w:lang w:eastAsia="zh-CN"/>
              </w:rPr>
              <w:t>行政处罚</w:t>
            </w: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对转让或者抵押国有不可移动文物，或者将国有不可移动文物作为企业资产经营的处罚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23</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对将非国有不可移动文物转让或者抵押给外国人的处罚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24</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对擅自改变国有文物保护单位的用途的处罚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25</w:t>
            </w:r>
          </w:p>
        </w:tc>
        <w:tc>
          <w:tcPr>
            <w:tcW w:w="710" w:type="dxa"/>
            <w:vMerge w:val="restart"/>
            <w:vAlign w:val="center"/>
          </w:tcPr>
          <w:p>
            <w:pPr>
              <w:jc w:val="left"/>
              <w:rPr>
                <w:rFonts w:hint="eastAsia" w:ascii="仿宋_GB2312" w:eastAsia="仿宋_GB2312"/>
                <w:sz w:val="20"/>
                <w:szCs w:val="20"/>
                <w:vertAlign w:val="baseline"/>
              </w:rPr>
            </w:pPr>
            <w:r>
              <w:rPr>
                <w:rFonts w:hint="eastAsia" w:ascii="仿宋_GB2312" w:eastAsia="仿宋_GB2312"/>
                <w:sz w:val="20"/>
                <w:szCs w:val="20"/>
                <w:vertAlign w:val="baseline"/>
                <w:lang w:eastAsia="zh-CN"/>
              </w:rPr>
              <w:t>行政处罚</w:t>
            </w: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对文物收藏单位未按规定配备防火、防盗、防自然损坏的设施的处罚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26</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对国有文物收藏单位法定代表人离任时未按照馆藏文物档案移交馆藏文物或者所移交的馆藏文物与馆藏文物档案不符的处罚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27</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对将国有馆藏文物赠与、出租或者出售给其他单位、个人的处罚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28</w:t>
            </w:r>
          </w:p>
        </w:tc>
        <w:tc>
          <w:tcPr>
            <w:tcW w:w="710" w:type="dxa"/>
            <w:vMerge w:val="restart"/>
            <w:vAlign w:val="center"/>
          </w:tcPr>
          <w:p>
            <w:pPr>
              <w:jc w:val="left"/>
              <w:rPr>
                <w:rFonts w:hint="eastAsia" w:ascii="仿宋_GB2312" w:eastAsia="仿宋_GB2312"/>
                <w:sz w:val="20"/>
                <w:szCs w:val="20"/>
                <w:vertAlign w:val="baseline"/>
              </w:rPr>
            </w:pPr>
            <w:r>
              <w:rPr>
                <w:rFonts w:hint="eastAsia" w:ascii="仿宋_GB2312" w:eastAsia="仿宋_GB2312"/>
                <w:sz w:val="20"/>
                <w:szCs w:val="20"/>
                <w:vertAlign w:val="baseline"/>
                <w:lang w:eastAsia="zh-CN"/>
              </w:rPr>
              <w:t>行政处罚</w:t>
            </w: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对违反法律规定处置国有馆藏文物的处罚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29</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对违反规定挪用或者侵占依法调拨、交换、出借文物所得补偿费用的处罚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30</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买卖国家禁止买卖的文物或者将禁止出境的文物转让、出租、质押给外国人的处罚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31</w:t>
            </w:r>
          </w:p>
        </w:tc>
        <w:tc>
          <w:tcPr>
            <w:tcW w:w="710" w:type="dxa"/>
            <w:vMerge w:val="restart"/>
            <w:vAlign w:val="center"/>
          </w:tcPr>
          <w:p>
            <w:pPr>
              <w:jc w:val="left"/>
              <w:rPr>
                <w:rFonts w:hint="eastAsia" w:ascii="仿宋_GB2312" w:eastAsia="仿宋_GB2312"/>
                <w:sz w:val="20"/>
                <w:szCs w:val="20"/>
                <w:vertAlign w:val="baseline"/>
              </w:rPr>
            </w:pPr>
            <w:r>
              <w:rPr>
                <w:rFonts w:hint="eastAsia" w:ascii="仿宋_GB2312" w:eastAsia="仿宋_GB2312"/>
                <w:sz w:val="20"/>
                <w:szCs w:val="20"/>
                <w:vertAlign w:val="baseline"/>
                <w:lang w:eastAsia="zh-CN"/>
              </w:rPr>
              <w:t>行政处罚</w:t>
            </w: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发现文物隐匿不报或者拒不上交以及未按规定移交拣选文物的处罚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32</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对改变国有未核定为文物保护单位的不可移动文物的用途未按规定报告的处罚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33</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对转让、抵押非国有不可移动文物或者改变其用途未按规定备案的处罚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34</w:t>
            </w:r>
          </w:p>
        </w:tc>
        <w:tc>
          <w:tcPr>
            <w:tcW w:w="710" w:type="dxa"/>
            <w:vMerge w:val="restart"/>
            <w:vAlign w:val="center"/>
          </w:tcPr>
          <w:p>
            <w:pPr>
              <w:jc w:val="left"/>
              <w:rPr>
                <w:rFonts w:hint="eastAsia" w:ascii="仿宋_GB2312" w:eastAsia="仿宋_GB2312"/>
                <w:sz w:val="20"/>
                <w:szCs w:val="20"/>
                <w:vertAlign w:val="baseline"/>
              </w:rPr>
            </w:pPr>
            <w:r>
              <w:rPr>
                <w:rFonts w:hint="eastAsia" w:ascii="仿宋_GB2312" w:eastAsia="仿宋_GB2312"/>
                <w:sz w:val="20"/>
                <w:szCs w:val="20"/>
                <w:vertAlign w:val="baseline"/>
                <w:lang w:eastAsia="zh-CN"/>
              </w:rPr>
              <w:t>行政处罚</w:t>
            </w: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对国有不可移动文物的使用人拒不依法履行修缮义务的处罚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35</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对考古发掘单位未经批准擅自进行考古发掘或者不如实报告考古发掘结果的处罚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36</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对文物收藏单位未按规定建立馆藏文物档案、管理制度或者未将馆藏文物档案、管理制度备案的处罚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37</w:t>
            </w:r>
          </w:p>
        </w:tc>
        <w:tc>
          <w:tcPr>
            <w:tcW w:w="710" w:type="dxa"/>
            <w:vMerge w:val="restart"/>
            <w:vAlign w:val="center"/>
          </w:tcPr>
          <w:p>
            <w:pPr>
              <w:jc w:val="left"/>
              <w:rPr>
                <w:rFonts w:hint="eastAsia" w:ascii="仿宋_GB2312" w:eastAsia="仿宋_GB2312"/>
                <w:sz w:val="20"/>
                <w:szCs w:val="20"/>
                <w:vertAlign w:val="baseline"/>
              </w:rPr>
            </w:pPr>
            <w:r>
              <w:rPr>
                <w:rFonts w:hint="eastAsia" w:ascii="仿宋_GB2312" w:eastAsia="仿宋_GB2312"/>
                <w:sz w:val="20"/>
                <w:szCs w:val="20"/>
                <w:vertAlign w:val="baseline"/>
                <w:lang w:eastAsia="zh-CN"/>
              </w:rPr>
              <w:t>行政处罚</w:t>
            </w: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对违反规定未经批准擅自调取馆藏文物的处罚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38</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对馆藏文物损毁未报文物行政部门核查处理或者馆藏文物被盗、被抢或者丢失未及时报告的处罚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39</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对文物商店销售文物或者拍卖企业拍卖文物未按规定作出记录或者未将所作记录报文物行政部门备案的处罚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40</w:t>
            </w:r>
          </w:p>
        </w:tc>
        <w:tc>
          <w:tcPr>
            <w:tcW w:w="710" w:type="dxa"/>
            <w:vMerge w:val="restart"/>
            <w:vAlign w:val="center"/>
          </w:tcPr>
          <w:p>
            <w:pPr>
              <w:jc w:val="left"/>
              <w:rPr>
                <w:rFonts w:hint="eastAsia" w:ascii="仿宋_GB2312" w:eastAsia="仿宋_GB2312"/>
                <w:sz w:val="20"/>
                <w:szCs w:val="20"/>
                <w:vertAlign w:val="baseline"/>
              </w:rPr>
            </w:pPr>
            <w:r>
              <w:rPr>
                <w:rFonts w:hint="eastAsia" w:ascii="仿宋_GB2312" w:eastAsia="仿宋_GB2312"/>
                <w:sz w:val="20"/>
                <w:szCs w:val="20"/>
                <w:vertAlign w:val="baseline"/>
                <w:lang w:eastAsia="zh-CN"/>
              </w:rPr>
              <w:t>行政处罚</w:t>
            </w: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对未取得相应等级的文物保护工程资质证书擅自承担文物保护单位的修缮、迁移、重建工程的处罚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41</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对未取得资质证书擅自从事馆藏文物的修复、复制、拓印活动的处罚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42</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对未经批准擅自修复、复制、拓印、拍摄馆藏珍贵文物的处罚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43</w:t>
            </w:r>
          </w:p>
        </w:tc>
        <w:tc>
          <w:tcPr>
            <w:tcW w:w="710" w:type="dxa"/>
            <w:vMerge w:val="restart"/>
            <w:vAlign w:val="center"/>
          </w:tcPr>
          <w:p>
            <w:pPr>
              <w:jc w:val="left"/>
              <w:rPr>
                <w:rFonts w:hint="eastAsia" w:ascii="仿宋_GB2312" w:eastAsia="仿宋_GB2312"/>
                <w:sz w:val="20"/>
                <w:szCs w:val="20"/>
                <w:vertAlign w:val="baseline"/>
              </w:rPr>
            </w:pPr>
            <w:r>
              <w:rPr>
                <w:rFonts w:hint="eastAsia" w:ascii="仿宋_GB2312" w:eastAsia="仿宋_GB2312"/>
                <w:sz w:val="20"/>
                <w:szCs w:val="20"/>
                <w:vertAlign w:val="baseline"/>
                <w:lang w:eastAsia="zh-CN"/>
              </w:rPr>
              <w:t>行政处罚</w:t>
            </w: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对违反规定实施水下文物考古勘探或者发掘活动造成严重后果的处罚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44</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对发现文物或者文物遗址未立即报告或者未采取有效措施保护现场的处罚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45</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对不可移动文物的异地迁建工程与落架拆卸未同步进行的处罚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46</w:t>
            </w:r>
          </w:p>
        </w:tc>
        <w:tc>
          <w:tcPr>
            <w:tcW w:w="710" w:type="dxa"/>
            <w:vMerge w:val="restart"/>
            <w:vAlign w:val="center"/>
          </w:tcPr>
          <w:p>
            <w:pPr>
              <w:jc w:val="left"/>
              <w:rPr>
                <w:rFonts w:hint="eastAsia" w:ascii="仿宋_GB2312" w:eastAsia="仿宋_GB2312"/>
                <w:sz w:val="20"/>
                <w:szCs w:val="20"/>
                <w:vertAlign w:val="baseline"/>
              </w:rPr>
            </w:pPr>
            <w:r>
              <w:rPr>
                <w:rFonts w:hint="eastAsia" w:ascii="仿宋_GB2312" w:eastAsia="仿宋_GB2312"/>
                <w:sz w:val="20"/>
                <w:szCs w:val="20"/>
                <w:vertAlign w:val="baseline"/>
                <w:lang w:eastAsia="zh-CN"/>
              </w:rPr>
              <w:t>行政处罚</w:t>
            </w: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对擅自对馆藏文物取样的处罚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47</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对国有文物收藏单位与非国有文物收藏单位交换馆藏文物的处罚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48</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对建设单位在地下文物埋藏区内未经考古调查、勘探以及抢救性考古发掘擅自开工建设的处罚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49</w:t>
            </w:r>
          </w:p>
        </w:tc>
        <w:tc>
          <w:tcPr>
            <w:tcW w:w="710" w:type="dxa"/>
            <w:vMerge w:val="restart"/>
            <w:vAlign w:val="center"/>
          </w:tcPr>
          <w:p>
            <w:pPr>
              <w:jc w:val="left"/>
              <w:rPr>
                <w:rFonts w:hint="eastAsia" w:ascii="仿宋_GB2312" w:eastAsia="仿宋_GB2312"/>
                <w:sz w:val="20"/>
                <w:szCs w:val="20"/>
                <w:vertAlign w:val="baseline"/>
              </w:rPr>
            </w:pPr>
            <w:r>
              <w:rPr>
                <w:rFonts w:hint="eastAsia" w:ascii="仿宋_GB2312" w:eastAsia="仿宋_GB2312"/>
                <w:sz w:val="20"/>
                <w:szCs w:val="20"/>
                <w:vertAlign w:val="baseline"/>
                <w:lang w:eastAsia="zh-CN"/>
              </w:rPr>
              <w:t>行政处罚</w:t>
            </w: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在水下文物保护单位内进行工程建设以及爆破、钻探、挖掘、捕捞、养殖、潜水等活动的处罚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50</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val="en-US" w:eastAsia="zh-CN"/>
              </w:rPr>
              <w:t>对未经省人民政府文物行政主管部门批准，违规拓印古代石刻的等文物的处罚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51</w:t>
            </w:r>
          </w:p>
        </w:tc>
        <w:tc>
          <w:tcPr>
            <w:tcW w:w="710" w:type="dxa"/>
            <w:vMerge w:val="continue"/>
            <w:vAlign w:val="center"/>
          </w:tcPr>
          <w:p>
            <w:pPr>
              <w:jc w:val="left"/>
              <w:rPr>
                <w:rFonts w:hint="eastAsia" w:ascii="仿宋_GB2312" w:eastAsia="仿宋_GB2312"/>
                <w:sz w:val="20"/>
                <w:szCs w:val="20"/>
                <w:vertAlign w:val="baseline"/>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eastAsia="仿宋_GB2312"/>
                <w:sz w:val="20"/>
                <w:szCs w:val="20"/>
                <w:vertAlign w:val="baseline"/>
                <w:lang w:eastAsia="zh-CN"/>
              </w:rPr>
            </w:pPr>
            <w:r>
              <w:rPr>
                <w:rFonts w:hint="eastAsia" w:ascii="仿宋_GB2312" w:eastAsia="仿宋_GB2312"/>
                <w:sz w:val="18"/>
                <w:szCs w:val="18"/>
                <w:vertAlign w:val="baseline"/>
                <w:lang w:val="en-US" w:eastAsia="zh-CN"/>
              </w:rPr>
              <w:t>对未经批准利用文物保护单位或者馆藏珍贵文物进行营利性、资料性电影电视拍摄和制作考古发掘现场专题类、直播类节目以及对国有文物收藏单位陈列展示的文物进行系统拍摄和提离陈列位置拍摄的处罚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1.《文物保护法》</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2.《中华人民共和国文物保护法实施条例》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52</w:t>
            </w:r>
          </w:p>
        </w:tc>
        <w:tc>
          <w:tcPr>
            <w:tcW w:w="710" w:type="dxa"/>
            <w:vMerge w:val="restart"/>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行政处罚</w:t>
            </w:r>
          </w:p>
        </w:tc>
        <w:tc>
          <w:tcPr>
            <w:tcW w:w="1363"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违反卫星电视地面接收设施管理规定行为的处罚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1.《卫星电视广播地面接收设施管理规定》</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2.《〈卫星电视广播地面接收设施管理规定〉实施细则》</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53</w:t>
            </w:r>
          </w:p>
        </w:tc>
        <w:tc>
          <w:tcPr>
            <w:tcW w:w="710" w:type="dxa"/>
            <w:vMerge w:val="continue"/>
            <w:vAlign w:val="center"/>
          </w:tcPr>
          <w:p>
            <w:pPr>
              <w:jc w:val="left"/>
              <w:rPr>
                <w:rFonts w:hint="eastAsia" w:ascii="仿宋_GB2312" w:eastAsia="仿宋_GB2312"/>
                <w:sz w:val="20"/>
                <w:szCs w:val="20"/>
                <w:vertAlign w:val="baseline"/>
                <w:lang w:eastAsia="zh-CN"/>
              </w:rPr>
            </w:pPr>
          </w:p>
        </w:tc>
        <w:tc>
          <w:tcPr>
            <w:tcW w:w="1363"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制播或向境外提供含禁止内容广播电视节目的处罚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 xml:space="preserve"> 《广播电视管理条例》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54</w:t>
            </w:r>
          </w:p>
        </w:tc>
        <w:tc>
          <w:tcPr>
            <w:tcW w:w="710" w:type="dxa"/>
            <w:vMerge w:val="continue"/>
            <w:vAlign w:val="center"/>
          </w:tcPr>
          <w:p>
            <w:pPr>
              <w:jc w:val="left"/>
              <w:rPr>
                <w:rFonts w:hint="eastAsia" w:ascii="仿宋_GB2312" w:eastAsia="仿宋_GB2312"/>
                <w:sz w:val="20"/>
                <w:szCs w:val="20"/>
                <w:vertAlign w:val="baseline"/>
                <w:lang w:eastAsia="zh-CN"/>
              </w:rPr>
            </w:pPr>
          </w:p>
        </w:tc>
        <w:tc>
          <w:tcPr>
            <w:tcW w:w="1363"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违反广播电视节目制作经营管理规定行为的处罚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 xml:space="preserve"> 《广播电视管理条例》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55</w:t>
            </w:r>
          </w:p>
        </w:tc>
        <w:tc>
          <w:tcPr>
            <w:tcW w:w="710" w:type="dxa"/>
            <w:vMerge w:val="restart"/>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行政处罚</w:t>
            </w:r>
          </w:p>
        </w:tc>
        <w:tc>
          <w:tcPr>
            <w:tcW w:w="1363"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擅自变更台名、台标、节目设置范围或者节目套数等行为的处罚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 xml:space="preserve"> 《广播电视管理条例》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56</w:t>
            </w:r>
          </w:p>
        </w:tc>
        <w:tc>
          <w:tcPr>
            <w:tcW w:w="710" w:type="dxa"/>
            <w:vMerge w:val="continue"/>
            <w:vAlign w:val="center"/>
          </w:tcPr>
          <w:p>
            <w:pPr>
              <w:jc w:val="left"/>
              <w:rPr>
                <w:rFonts w:hint="eastAsia" w:ascii="仿宋_GB2312" w:eastAsia="仿宋_GB2312"/>
                <w:sz w:val="20"/>
                <w:szCs w:val="20"/>
                <w:vertAlign w:val="baseline"/>
                <w:lang w:eastAsia="zh-CN"/>
              </w:rPr>
            </w:pPr>
          </w:p>
        </w:tc>
        <w:tc>
          <w:tcPr>
            <w:tcW w:w="1363"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违规开展广播电视节目信号传输覆盖行为的处罚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 xml:space="preserve"> 《广播电视管理条例》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57</w:t>
            </w:r>
          </w:p>
        </w:tc>
        <w:tc>
          <w:tcPr>
            <w:tcW w:w="710" w:type="dxa"/>
            <w:vMerge w:val="continue"/>
            <w:vAlign w:val="center"/>
          </w:tcPr>
          <w:p>
            <w:pPr>
              <w:jc w:val="left"/>
              <w:rPr>
                <w:rFonts w:hint="eastAsia" w:ascii="仿宋_GB2312" w:eastAsia="仿宋_GB2312"/>
                <w:sz w:val="20"/>
                <w:szCs w:val="20"/>
                <w:vertAlign w:val="baseline"/>
                <w:lang w:eastAsia="zh-CN"/>
              </w:rPr>
            </w:pPr>
          </w:p>
        </w:tc>
        <w:tc>
          <w:tcPr>
            <w:tcW w:w="1363"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违反有线电视管理规定行为的处罚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 xml:space="preserve"> 《有线电视管理暂行办法》</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58</w:t>
            </w:r>
          </w:p>
        </w:tc>
        <w:tc>
          <w:tcPr>
            <w:tcW w:w="710" w:type="dxa"/>
            <w:vMerge w:val="restart"/>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行政处罚</w:t>
            </w:r>
          </w:p>
        </w:tc>
        <w:tc>
          <w:tcPr>
            <w:tcW w:w="1363"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私自利用有线电视站（台）或共用天线系统播映自制或含禁止内容节目行为的处罚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 xml:space="preserve"> 《有线电视管理暂行办法》</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59</w:t>
            </w:r>
          </w:p>
        </w:tc>
        <w:tc>
          <w:tcPr>
            <w:tcW w:w="710" w:type="dxa"/>
            <w:vMerge w:val="continue"/>
            <w:vAlign w:val="center"/>
          </w:tcPr>
          <w:p>
            <w:pPr>
              <w:jc w:val="left"/>
              <w:rPr>
                <w:rFonts w:hint="eastAsia" w:ascii="仿宋_GB2312" w:eastAsia="仿宋_GB2312"/>
                <w:sz w:val="20"/>
                <w:szCs w:val="20"/>
                <w:vertAlign w:val="baseline"/>
                <w:lang w:eastAsia="zh-CN"/>
              </w:rPr>
            </w:pPr>
          </w:p>
        </w:tc>
        <w:tc>
          <w:tcPr>
            <w:tcW w:w="1363"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违反广播电视广告播出管理规定行为的处罚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 xml:space="preserve"> 《广播电视管理条例》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60</w:t>
            </w:r>
          </w:p>
        </w:tc>
        <w:tc>
          <w:tcPr>
            <w:tcW w:w="710" w:type="dxa"/>
            <w:vMerge w:val="continue"/>
            <w:vAlign w:val="center"/>
          </w:tcPr>
          <w:p>
            <w:pPr>
              <w:jc w:val="left"/>
              <w:rPr>
                <w:rFonts w:hint="eastAsia" w:ascii="仿宋_GB2312" w:eastAsia="仿宋_GB2312"/>
                <w:sz w:val="20"/>
                <w:szCs w:val="20"/>
                <w:vertAlign w:val="baseline"/>
                <w:lang w:eastAsia="zh-CN"/>
              </w:rPr>
            </w:pPr>
          </w:p>
        </w:tc>
        <w:tc>
          <w:tcPr>
            <w:tcW w:w="1363"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违反专网及定向传播视听节目服务管理规定的处罚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 xml:space="preserve"> 《广播电视管理条例》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61</w:t>
            </w:r>
          </w:p>
        </w:tc>
        <w:tc>
          <w:tcPr>
            <w:tcW w:w="710" w:type="dxa"/>
            <w:vMerge w:val="restart"/>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行政处罚</w:t>
            </w:r>
          </w:p>
        </w:tc>
        <w:tc>
          <w:tcPr>
            <w:tcW w:w="1363"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违反广播电视管理条例规定的处罚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 xml:space="preserve"> 《广播电视管理条例》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62</w:t>
            </w:r>
          </w:p>
        </w:tc>
        <w:tc>
          <w:tcPr>
            <w:tcW w:w="710" w:type="dxa"/>
            <w:vMerge w:val="continue"/>
            <w:vAlign w:val="center"/>
          </w:tcPr>
          <w:p>
            <w:pPr>
              <w:jc w:val="left"/>
              <w:rPr>
                <w:rFonts w:hint="eastAsia" w:ascii="仿宋_GB2312" w:eastAsia="仿宋_GB2312"/>
                <w:sz w:val="20"/>
                <w:szCs w:val="20"/>
                <w:vertAlign w:val="baseline"/>
                <w:lang w:eastAsia="zh-CN"/>
              </w:rPr>
            </w:pPr>
          </w:p>
        </w:tc>
        <w:tc>
          <w:tcPr>
            <w:tcW w:w="1363"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违反广播电视设施保护规定行为的处罚</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 xml:space="preserve"> 《广播电视管理条例》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执法决定信息在做出决定之日起</w:t>
            </w:r>
            <w:r>
              <w:rPr>
                <w:rFonts w:hint="eastAsia" w:ascii="仿宋_GB2312" w:eastAsia="仿宋_GB2312"/>
                <w:sz w:val="20"/>
                <w:szCs w:val="20"/>
                <w:vertAlign w:val="baseline"/>
                <w:lang w:val="en-US" w:eastAsia="zh-CN"/>
              </w:rPr>
              <w:t>7个工作日内公开，其他相关</w:t>
            </w: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63</w:t>
            </w:r>
          </w:p>
        </w:tc>
        <w:tc>
          <w:tcPr>
            <w:tcW w:w="710" w:type="dxa"/>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行政强制</w:t>
            </w:r>
          </w:p>
        </w:tc>
        <w:tc>
          <w:tcPr>
            <w:tcW w:w="1363"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查封擅自从事互联网上网服务违法经营活动的场所，扣押从事违法经营活动的专用工具</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1.主体信息</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2.案由</w:t>
            </w:r>
          </w:p>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3.处罚依据</w:t>
            </w:r>
          </w:p>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val="en-US" w:eastAsia="zh-CN"/>
              </w:rPr>
              <w:t>4.处罚结果</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《互联网上网服务营业场所管理条例》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64</w:t>
            </w:r>
          </w:p>
        </w:tc>
        <w:tc>
          <w:tcPr>
            <w:tcW w:w="710" w:type="dxa"/>
            <w:vMerge w:val="restart"/>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公共服务</w:t>
            </w:r>
          </w:p>
        </w:tc>
        <w:tc>
          <w:tcPr>
            <w:tcW w:w="1363"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公共文化服务信息</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市直文化单位文艺演出、文化展览展示、文化讲座论坛、文化活动等公共文化服务信息</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《中华人民共和国政府信息公开条例》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65</w:t>
            </w:r>
          </w:p>
        </w:tc>
        <w:tc>
          <w:tcPr>
            <w:tcW w:w="710" w:type="dxa"/>
            <w:vMerge w:val="continue"/>
            <w:vAlign w:val="center"/>
          </w:tcPr>
          <w:p>
            <w:pPr>
              <w:jc w:val="left"/>
              <w:rPr>
                <w:rFonts w:hint="eastAsia" w:ascii="仿宋_GB2312" w:eastAsia="仿宋_GB2312"/>
                <w:sz w:val="20"/>
                <w:szCs w:val="20"/>
                <w:vertAlign w:val="baseline"/>
                <w:lang w:eastAsia="zh-CN"/>
              </w:rPr>
            </w:pPr>
          </w:p>
        </w:tc>
        <w:tc>
          <w:tcPr>
            <w:tcW w:w="1363"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公共文化单位信息</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市直公共文化单位名称、地址、邮编、联系电话和主要职责等</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《中华人民共和国政府信息公开条例》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66</w:t>
            </w:r>
          </w:p>
        </w:tc>
        <w:tc>
          <w:tcPr>
            <w:tcW w:w="710" w:type="dxa"/>
            <w:vMerge w:val="continue"/>
            <w:vAlign w:val="center"/>
          </w:tcPr>
          <w:p>
            <w:pPr>
              <w:jc w:val="left"/>
              <w:rPr>
                <w:rFonts w:hint="eastAsia" w:ascii="仿宋_GB2312" w:eastAsia="仿宋_GB2312"/>
                <w:sz w:val="20"/>
                <w:szCs w:val="20"/>
                <w:vertAlign w:val="baseline"/>
                <w:lang w:eastAsia="zh-CN"/>
              </w:rPr>
            </w:pPr>
          </w:p>
        </w:tc>
        <w:tc>
          <w:tcPr>
            <w:tcW w:w="1363"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艺术创作演出信息</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市直文化单位重要艺术创作生产情况、我市重大文艺活动（赛事）和参评参演全国性文艺活动（赛事）情况等</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《中华人民共和国政府信息公开条例》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67</w:t>
            </w:r>
          </w:p>
        </w:tc>
        <w:tc>
          <w:tcPr>
            <w:tcW w:w="710" w:type="dxa"/>
            <w:vMerge w:val="restart"/>
            <w:vAlign w:val="center"/>
          </w:tcPr>
          <w:p>
            <w:pPr>
              <w:jc w:val="left"/>
              <w:rPr>
                <w:rFonts w:hint="eastAsia" w:ascii="仿宋_GB2312" w:eastAsia="仿宋_GB2312"/>
                <w:sz w:val="20"/>
                <w:szCs w:val="20"/>
                <w:vertAlign w:val="baseline"/>
                <w:lang w:eastAsia="zh-CN"/>
              </w:rPr>
            </w:pPr>
            <w:r>
              <w:rPr>
                <w:rFonts w:hint="eastAsia" w:ascii="仿宋_GB2312" w:eastAsia="仿宋_GB2312"/>
                <w:sz w:val="20"/>
                <w:szCs w:val="20"/>
                <w:vertAlign w:val="baseline"/>
                <w:lang w:eastAsia="zh-CN"/>
              </w:rPr>
              <w:t>公共服务</w:t>
            </w:r>
          </w:p>
        </w:tc>
        <w:tc>
          <w:tcPr>
            <w:tcW w:w="1363"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文旅市场管理与产业发展信息</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我市文化市场管理、文化产业发展重要政策措施和工作动态等</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《中华人民共和国政府信息公开条例》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68</w:t>
            </w:r>
          </w:p>
        </w:tc>
        <w:tc>
          <w:tcPr>
            <w:tcW w:w="710" w:type="dxa"/>
            <w:vMerge w:val="continue"/>
            <w:vAlign w:val="center"/>
          </w:tcPr>
          <w:p>
            <w:pPr>
              <w:jc w:val="left"/>
              <w:rPr>
                <w:rFonts w:hint="eastAsia" w:ascii="仿宋_GB2312" w:eastAsia="仿宋_GB2312"/>
                <w:sz w:val="20"/>
                <w:szCs w:val="20"/>
                <w:vertAlign w:val="baseline"/>
                <w:lang w:eastAsia="zh-CN"/>
              </w:rPr>
            </w:pPr>
          </w:p>
        </w:tc>
        <w:tc>
          <w:tcPr>
            <w:tcW w:w="1363"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文物保护单位信息</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我市文物保护单位的名称、类别、年代、座落地点、保护范围、建设控制地带等</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《中华人民共和国政府信息公开条例》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709" w:type="dxa"/>
            <w:vAlign w:val="center"/>
          </w:tcPr>
          <w:p>
            <w:pPr>
              <w:jc w:val="center"/>
              <w:rPr>
                <w:rFonts w:hint="default"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69</w:t>
            </w:r>
          </w:p>
        </w:tc>
        <w:tc>
          <w:tcPr>
            <w:tcW w:w="710" w:type="dxa"/>
            <w:vMerge w:val="continue"/>
            <w:vAlign w:val="center"/>
          </w:tcPr>
          <w:p>
            <w:pPr>
              <w:jc w:val="left"/>
              <w:rPr>
                <w:rFonts w:hint="eastAsia" w:ascii="仿宋_GB2312" w:eastAsia="仿宋_GB2312"/>
                <w:sz w:val="20"/>
                <w:szCs w:val="20"/>
                <w:vertAlign w:val="baseline"/>
                <w:lang w:eastAsia="zh-CN"/>
              </w:rPr>
            </w:pPr>
          </w:p>
        </w:tc>
        <w:tc>
          <w:tcPr>
            <w:tcW w:w="1363"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文化和旅游政策信息</w:t>
            </w:r>
          </w:p>
        </w:tc>
        <w:tc>
          <w:tcPr>
            <w:tcW w:w="1732"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我市艺术创作生产、公共文化服务建设、文化遗产保护利用、文化市场管理、文化产业发展、对外对台港澳文化交流、文化人才队伍建设等方面重要政策措施</w:t>
            </w:r>
          </w:p>
        </w:tc>
        <w:tc>
          <w:tcPr>
            <w:tcW w:w="2318" w:type="dxa"/>
            <w:vAlign w:val="center"/>
          </w:tcPr>
          <w:p>
            <w:pPr>
              <w:jc w:val="left"/>
              <w:rPr>
                <w:rFonts w:hint="eastAsia" w:ascii="仿宋_GB2312" w:eastAsia="仿宋_GB2312"/>
                <w:sz w:val="20"/>
                <w:szCs w:val="20"/>
                <w:vertAlign w:val="baseline"/>
                <w:lang w:val="en-US" w:eastAsia="zh-CN"/>
              </w:rPr>
            </w:pPr>
            <w:r>
              <w:rPr>
                <w:rFonts w:hint="eastAsia" w:ascii="仿宋_GB2312" w:eastAsia="仿宋_GB2312"/>
                <w:sz w:val="20"/>
                <w:szCs w:val="20"/>
                <w:vertAlign w:val="baseline"/>
                <w:lang w:val="en-US" w:eastAsia="zh-CN"/>
              </w:rPr>
              <w:t>《中华人民共和国政府信息公开条例》</w:t>
            </w:r>
          </w:p>
        </w:tc>
        <w:tc>
          <w:tcPr>
            <w:tcW w:w="1268"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信息形成或变更之日起</w:t>
            </w:r>
            <w:r>
              <w:rPr>
                <w:rFonts w:hint="eastAsia" w:ascii="仿宋_GB2312" w:eastAsia="仿宋_GB2312"/>
                <w:sz w:val="20"/>
                <w:szCs w:val="20"/>
                <w:vertAlign w:val="baseline"/>
                <w:lang w:val="en-US" w:eastAsia="zh-CN"/>
              </w:rPr>
              <w:t>20个工作日内公开</w:t>
            </w:r>
          </w:p>
        </w:tc>
        <w:tc>
          <w:tcPr>
            <w:tcW w:w="846" w:type="dxa"/>
            <w:vAlign w:val="center"/>
          </w:tcPr>
          <w:p>
            <w:pPr>
              <w:jc w:val="left"/>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文化和旅游行政部门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☑政府网站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□政府公报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□两微一端</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□发布会</w:t>
            </w:r>
            <w:r>
              <w:rPr>
                <w:rFonts w:hint="eastAsia" w:ascii="仿宋_GB2312" w:eastAsia="仿宋_GB2312"/>
                <w:sz w:val="18"/>
                <w:szCs w:val="18"/>
                <w:vertAlign w:val="baseline"/>
                <w:lang w:val="en-US" w:eastAsia="zh-CN"/>
              </w:rPr>
              <w:t>/听证会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□广播电视</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□纸质媒体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□公开查阅点</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□便民服务站</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□入户</w:t>
            </w:r>
            <w:r>
              <w:rPr>
                <w:rFonts w:hint="eastAsia" w:ascii="仿宋_GB2312" w:eastAsia="仿宋_GB2312"/>
                <w:sz w:val="18"/>
                <w:szCs w:val="18"/>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eastAsia="仿宋_GB2312"/>
                <w:sz w:val="18"/>
                <w:szCs w:val="18"/>
                <w:vertAlign w:val="baseline"/>
                <w:lang w:val="en-US" w:eastAsia="zh-CN"/>
              </w:rPr>
            </w:pPr>
            <w:r>
              <w:rPr>
                <w:rFonts w:hint="eastAsia" w:ascii="仿宋_GB2312" w:eastAsia="仿宋_GB2312"/>
                <w:sz w:val="18"/>
                <w:szCs w:val="18"/>
                <w:vertAlign w:val="baseline"/>
                <w:lang w:eastAsia="zh-CN"/>
              </w:rPr>
              <w:t>□社区</w:t>
            </w:r>
            <w:r>
              <w:rPr>
                <w:rFonts w:hint="eastAsia" w:ascii="仿宋_GB2312" w:eastAsia="仿宋_GB2312"/>
                <w:sz w:val="18"/>
                <w:szCs w:val="18"/>
                <w:vertAlign w:val="baseline"/>
                <w:lang w:val="en-US" w:eastAsia="zh-CN"/>
              </w:rPr>
              <w:t>/企事业单位/村公示栏（电子屏）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18"/>
                <w:szCs w:val="18"/>
                <w:vertAlign w:val="baseline"/>
                <w:lang w:eastAsia="zh-CN"/>
              </w:rPr>
              <w:t>□精准推送</w:t>
            </w:r>
            <w:r>
              <w:rPr>
                <w:rFonts w:hint="eastAsia" w:ascii="仿宋_GB2312" w:eastAsia="仿宋_GB2312"/>
                <w:sz w:val="18"/>
                <w:szCs w:val="18"/>
                <w:vertAlign w:val="baseline"/>
                <w:lang w:val="en-US" w:eastAsia="zh-CN"/>
              </w:rPr>
              <w:t xml:space="preserve">  </w:t>
            </w:r>
            <w:r>
              <w:rPr>
                <w:rFonts w:hint="eastAsia" w:ascii="仿宋_GB2312" w:eastAsia="仿宋_GB2312"/>
                <w:sz w:val="18"/>
                <w:szCs w:val="18"/>
                <w:vertAlign w:val="baseline"/>
                <w:lang w:eastAsia="zh-CN"/>
              </w:rPr>
              <w:t>□其他</w:t>
            </w:r>
          </w:p>
        </w:tc>
        <w:tc>
          <w:tcPr>
            <w:tcW w:w="723"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22"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96"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c>
          <w:tcPr>
            <w:tcW w:w="709" w:type="dxa"/>
            <w:vAlign w:val="center"/>
          </w:tcPr>
          <w:p>
            <w:pPr>
              <w:jc w:val="center"/>
              <w:rPr>
                <w:rFonts w:hint="eastAsia" w:ascii="仿宋_GB2312" w:eastAsia="仿宋_GB2312" w:hAnsiTheme="minorHAnsi" w:cstheme="minorBidi"/>
                <w:kern w:val="2"/>
                <w:sz w:val="20"/>
                <w:szCs w:val="20"/>
                <w:vertAlign w:val="baseline"/>
                <w:lang w:val="en-US" w:eastAsia="zh-CN" w:bidi="ar-SA"/>
              </w:rPr>
            </w:pPr>
            <w:r>
              <w:rPr>
                <w:rFonts w:hint="eastAsia" w:ascii="仿宋_GB2312" w:eastAsia="仿宋_GB2312"/>
                <w:sz w:val="20"/>
                <w:szCs w:val="20"/>
                <w:vertAlign w:val="baseline"/>
                <w:lang w:eastAsia="zh-CN"/>
              </w:rPr>
              <w:t>√</w:t>
            </w:r>
          </w:p>
        </w:tc>
        <w:tc>
          <w:tcPr>
            <w:tcW w:w="668" w:type="dxa"/>
            <w:vAlign w:val="center"/>
          </w:tcPr>
          <w:p>
            <w:pPr>
              <w:jc w:val="center"/>
              <w:rPr>
                <w:rFonts w:hint="eastAsia" w:ascii="仿宋_GB2312" w:eastAsia="仿宋_GB2312" w:hAnsiTheme="minorHAnsi" w:cstheme="minorBidi"/>
                <w:kern w:val="2"/>
                <w:sz w:val="20"/>
                <w:szCs w:val="20"/>
                <w:vertAlign w:val="baseline"/>
                <w:lang w:val="en-US" w:eastAsia="zh-CN" w:bidi="ar-SA"/>
              </w:rPr>
            </w:pPr>
          </w:p>
        </w:tc>
      </w:tr>
    </w:tbl>
    <w:p>
      <w:pPr>
        <w:jc w:val="both"/>
        <w:rPr>
          <w:rFonts w:hint="default" w:ascii="仿宋_GB2312" w:eastAsia="仿宋_GB2312"/>
          <w:sz w:val="31"/>
          <w:szCs w:val="31"/>
          <w:lang w:val="en-US" w:eastAsia="zh-CN"/>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0D05AE"/>
    <w:rsid w:val="136F47D0"/>
    <w:rsid w:val="3EAD2C27"/>
    <w:rsid w:val="3F0D05AE"/>
    <w:rsid w:val="79621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2020-09-15T00:32:00Z</dcterms:created>
  <dc:creator>Administrator</dc:creator>
  <cp:lastModifiedBy>Administrator</cp:lastModifiedBy>
  <dcterms:modified xsi:type="dcterms:W3CDTF">2020-09-15T08:32:42Z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