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EB" w:rsidRPr="00D83484" w:rsidRDefault="008804EB" w:rsidP="008804EB">
      <w:pPr>
        <w:spacing w:afterLines="50" w:line="500" w:lineRule="exact"/>
        <w:rPr>
          <w:rFonts w:ascii="黑体" w:eastAsia="黑体" w:hAnsi="宋体" w:cs="仿宋_GB2312" w:hint="eastAsia"/>
          <w:szCs w:val="32"/>
        </w:rPr>
      </w:pPr>
      <w:r w:rsidRPr="00D83484">
        <w:rPr>
          <w:rFonts w:ascii="黑体" w:eastAsia="黑体" w:hAnsi="宋体" w:cs="仿宋_GB2312" w:hint="eastAsia"/>
          <w:szCs w:val="32"/>
        </w:rPr>
        <w:t>附件</w:t>
      </w:r>
    </w:p>
    <w:p w:rsidR="008804EB" w:rsidRPr="00D83484" w:rsidRDefault="008804EB" w:rsidP="008804EB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83484">
        <w:rPr>
          <w:rFonts w:ascii="方正小标宋简体" w:eastAsia="方正小标宋简体" w:hAnsi="宋体" w:hint="eastAsia"/>
          <w:sz w:val="44"/>
          <w:szCs w:val="44"/>
        </w:rPr>
        <w:t>宁德市尘肺病防治攻坚行动具体工作目标和责任分解一览表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4"/>
        <w:gridCol w:w="2321"/>
        <w:gridCol w:w="4232"/>
        <w:gridCol w:w="4779"/>
        <w:gridCol w:w="2120"/>
      </w:tblGrid>
      <w:tr w:rsidR="008804EB" w:rsidTr="00145251">
        <w:trPr>
          <w:trHeight w:val="532"/>
          <w:jc w:val="center"/>
        </w:trPr>
        <w:tc>
          <w:tcPr>
            <w:tcW w:w="1334" w:type="dxa"/>
            <w:vMerge w:val="restart"/>
            <w:noWrap/>
            <w:vAlign w:val="center"/>
          </w:tcPr>
          <w:p w:rsidR="008804EB" w:rsidRDefault="008804EB" w:rsidP="00145251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重点</w:t>
            </w:r>
          </w:p>
          <w:p w:rsidR="008804EB" w:rsidRDefault="008804EB" w:rsidP="00145251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任务</w:t>
            </w:r>
          </w:p>
        </w:tc>
        <w:tc>
          <w:tcPr>
            <w:tcW w:w="2321" w:type="dxa"/>
            <w:vMerge w:val="restart"/>
            <w:noWrap/>
            <w:vAlign w:val="center"/>
          </w:tcPr>
          <w:p w:rsidR="008804EB" w:rsidRDefault="008804EB" w:rsidP="00145251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行动目标</w:t>
            </w:r>
          </w:p>
        </w:tc>
        <w:tc>
          <w:tcPr>
            <w:tcW w:w="9011" w:type="dxa"/>
            <w:gridSpan w:val="2"/>
            <w:noWrap/>
            <w:vAlign w:val="center"/>
          </w:tcPr>
          <w:p w:rsidR="008804EB" w:rsidRDefault="008804EB" w:rsidP="001452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指标要求</w:t>
            </w:r>
          </w:p>
        </w:tc>
        <w:tc>
          <w:tcPr>
            <w:tcW w:w="2120" w:type="dxa"/>
            <w:vMerge w:val="restart"/>
            <w:noWrap/>
            <w:vAlign w:val="center"/>
          </w:tcPr>
          <w:p w:rsidR="008804EB" w:rsidRDefault="008804EB" w:rsidP="00145251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责任部门</w:t>
            </w:r>
          </w:p>
        </w:tc>
      </w:tr>
      <w:tr w:rsidR="008804EB" w:rsidTr="00145251">
        <w:trPr>
          <w:jc w:val="center"/>
        </w:trPr>
        <w:tc>
          <w:tcPr>
            <w:tcW w:w="1334" w:type="dxa"/>
            <w:vMerge/>
            <w:noWrap/>
            <w:vAlign w:val="center"/>
          </w:tcPr>
          <w:p w:rsidR="008804EB" w:rsidRDefault="008804EB" w:rsidP="00145251">
            <w:pPr>
              <w:spacing w:afterLines="50" w:line="36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1" w:type="dxa"/>
            <w:vMerge/>
            <w:noWrap/>
            <w:vAlign w:val="center"/>
          </w:tcPr>
          <w:p w:rsidR="008804EB" w:rsidRDefault="008804EB" w:rsidP="001452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32" w:type="dxa"/>
            <w:noWrap/>
            <w:vAlign w:val="center"/>
          </w:tcPr>
          <w:p w:rsidR="008804EB" w:rsidRDefault="008804EB" w:rsidP="001452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2019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</w:p>
        </w:tc>
        <w:tc>
          <w:tcPr>
            <w:tcW w:w="4779" w:type="dxa"/>
            <w:noWrap/>
            <w:vAlign w:val="center"/>
          </w:tcPr>
          <w:p w:rsidR="008804EB" w:rsidRDefault="008804EB" w:rsidP="001452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2020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</w:p>
        </w:tc>
        <w:tc>
          <w:tcPr>
            <w:tcW w:w="2120" w:type="dxa"/>
            <w:vMerge/>
            <w:noWrap/>
            <w:vAlign w:val="center"/>
          </w:tcPr>
          <w:p w:rsidR="008804EB" w:rsidRDefault="008804EB" w:rsidP="00145251">
            <w:pPr>
              <w:rPr>
                <w:rFonts w:ascii="仿宋_GB2312" w:hAnsi="黑体"/>
                <w:sz w:val="28"/>
                <w:szCs w:val="28"/>
              </w:rPr>
            </w:pPr>
          </w:p>
        </w:tc>
      </w:tr>
      <w:tr w:rsidR="008804EB" w:rsidTr="00145251">
        <w:trPr>
          <w:trHeight w:val="3229"/>
          <w:jc w:val="center"/>
        </w:trPr>
        <w:tc>
          <w:tcPr>
            <w:tcW w:w="1334" w:type="dxa"/>
            <w:noWrap/>
            <w:vAlign w:val="center"/>
          </w:tcPr>
          <w:p w:rsidR="008804EB" w:rsidRDefault="008804EB" w:rsidP="00145251">
            <w:pPr>
              <w:spacing w:afterLines="50" w:line="3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一、粉尘危害专项治理行动</w:t>
            </w:r>
          </w:p>
        </w:tc>
        <w:tc>
          <w:tcPr>
            <w:tcW w:w="2321" w:type="dxa"/>
            <w:noWrap/>
            <w:vAlign w:val="center"/>
          </w:tcPr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摸清尘肺病防治攻坚用人单位粉尘危害基本情况；非煤矿山、冶金、建材、陶瓷制造、水泥制造、石材加工等尘肺病易发高发行业专项治理取得明显成效。</w:t>
            </w:r>
          </w:p>
        </w:tc>
        <w:tc>
          <w:tcPr>
            <w:tcW w:w="4232" w:type="dxa"/>
            <w:noWrap/>
            <w:vAlign w:val="center"/>
          </w:tcPr>
          <w:p w:rsidR="008804EB" w:rsidRDefault="008804EB" w:rsidP="00145251">
            <w:pPr>
              <w:numPr>
                <w:ilvl w:val="0"/>
                <w:numId w:val="1"/>
              </w:num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按照重点行业职业病危害现状调查方案，启动专项摸底调查工作，全面掌握粉尘危害基本情况。</w:t>
            </w:r>
          </w:p>
          <w:p w:rsidR="008804EB" w:rsidRDefault="008804EB" w:rsidP="00145251">
            <w:pPr>
              <w:numPr>
                <w:ilvl w:val="0"/>
                <w:numId w:val="1"/>
              </w:num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纳入治理范围的用人单位粉尘危害申报率、粉尘危害定期检测率、接尘劳动者在岗期间职业健康检查率以及主要负责人、职业健康管理人员和劳动者培训率达到</w:t>
            </w:r>
            <w:r>
              <w:rPr>
                <w:rFonts w:ascii="仿宋_GB2312" w:hAnsi="宋体"/>
                <w:bCs/>
                <w:sz w:val="24"/>
              </w:rPr>
              <w:t>80%</w:t>
            </w:r>
            <w:r>
              <w:rPr>
                <w:rFonts w:ascii="仿宋_GB2312" w:hAnsi="宋体" w:hint="eastAsia"/>
                <w:bCs/>
                <w:sz w:val="24"/>
              </w:rPr>
              <w:t>以上。</w:t>
            </w:r>
          </w:p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3.</w:t>
            </w:r>
            <w:r>
              <w:rPr>
                <w:rFonts w:ascii="仿宋_GB2312" w:hAnsi="宋体" w:hint="eastAsia"/>
                <w:bCs/>
                <w:sz w:val="24"/>
              </w:rPr>
              <w:t>不具备安全生产条件、不满足环保要求的矿山、水泥、冶金、陶瓷、石材加工等用人单位明显减少。</w:t>
            </w:r>
          </w:p>
        </w:tc>
        <w:tc>
          <w:tcPr>
            <w:tcW w:w="4779" w:type="dxa"/>
            <w:noWrap/>
            <w:vAlign w:val="center"/>
          </w:tcPr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1.</w:t>
            </w:r>
            <w:r>
              <w:rPr>
                <w:rFonts w:ascii="仿宋_GB2312" w:hAnsi="宋体" w:hint="eastAsia"/>
                <w:bCs/>
                <w:sz w:val="24"/>
              </w:rPr>
              <w:t>完成粉尘危害专项调查工作。</w:t>
            </w:r>
          </w:p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2.</w:t>
            </w:r>
            <w:r>
              <w:rPr>
                <w:rFonts w:ascii="仿宋_GB2312" w:hAnsi="宋体" w:hint="eastAsia"/>
                <w:bCs/>
                <w:sz w:val="24"/>
              </w:rPr>
              <w:t>纳入治理范围的用人单位粉尘危害申报率、粉尘浓度定期检测率、接尘劳动者在岗期间职业健康检查率以及主要负责人、职业健康管理人员和劳动者培训率达到</w:t>
            </w:r>
            <w:r>
              <w:rPr>
                <w:rFonts w:ascii="仿宋_GB2312" w:hAnsi="宋体"/>
                <w:bCs/>
                <w:sz w:val="24"/>
              </w:rPr>
              <w:t>95%</w:t>
            </w:r>
            <w:r>
              <w:rPr>
                <w:rFonts w:ascii="仿宋_GB2312" w:hAnsi="宋体" w:hint="eastAsia"/>
                <w:bCs/>
                <w:sz w:val="24"/>
              </w:rPr>
              <w:t>以上。</w:t>
            </w:r>
          </w:p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3.</w:t>
            </w:r>
            <w:r>
              <w:rPr>
                <w:rFonts w:ascii="仿宋_GB2312" w:hAnsi="宋体" w:hint="eastAsia"/>
                <w:bCs/>
                <w:sz w:val="24"/>
              </w:rPr>
              <w:t>不具备安全生产条件、不满足环保要求的矿山、水泥、冶金、陶瓷、石材加工等用人单位大幅减少。</w:t>
            </w:r>
          </w:p>
        </w:tc>
        <w:tc>
          <w:tcPr>
            <w:tcW w:w="2120" w:type="dxa"/>
            <w:noWrap/>
            <w:vAlign w:val="center"/>
          </w:tcPr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市卫健委、生态环境局、国资委、应急管理局按职责分工负责，各县（市、区）人民政府、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东侨经济技术开发区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管委会落实。</w:t>
            </w:r>
          </w:p>
        </w:tc>
      </w:tr>
      <w:tr w:rsidR="008804EB" w:rsidTr="00145251">
        <w:trPr>
          <w:trHeight w:val="466"/>
          <w:jc w:val="center"/>
        </w:trPr>
        <w:tc>
          <w:tcPr>
            <w:tcW w:w="1334" w:type="dxa"/>
            <w:noWrap/>
            <w:vAlign w:val="center"/>
          </w:tcPr>
          <w:p w:rsidR="008804EB" w:rsidRDefault="008804EB" w:rsidP="00145251">
            <w:pPr>
              <w:spacing w:afterLines="50" w:line="3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二、尘肺病患者救治救助行动</w:t>
            </w:r>
          </w:p>
        </w:tc>
        <w:tc>
          <w:tcPr>
            <w:tcW w:w="2321" w:type="dxa"/>
            <w:noWrap/>
            <w:vAlign w:val="center"/>
          </w:tcPr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摸清报告职业性尘肺病患者的健康状况；尘肺病患者的工伤保险保障和救治救助水平明显提高。</w:t>
            </w:r>
          </w:p>
        </w:tc>
        <w:tc>
          <w:tcPr>
            <w:tcW w:w="4232" w:type="dxa"/>
            <w:noWrap/>
            <w:vAlign w:val="center"/>
          </w:tcPr>
          <w:p w:rsidR="008804EB" w:rsidRDefault="008804EB" w:rsidP="00145251">
            <w:pPr>
              <w:numPr>
                <w:ilvl w:val="0"/>
                <w:numId w:val="2"/>
              </w:num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开展尘肺病日常监测，将《职业病分类和目录》中的</w:t>
            </w:r>
            <w:r>
              <w:rPr>
                <w:rFonts w:ascii="仿宋_GB2312" w:hAnsi="宋体"/>
                <w:bCs/>
                <w:sz w:val="24"/>
              </w:rPr>
              <w:t>13</w:t>
            </w:r>
            <w:r>
              <w:rPr>
                <w:rFonts w:ascii="仿宋_GB2312" w:hAnsi="宋体" w:hint="eastAsia"/>
                <w:bCs/>
                <w:sz w:val="24"/>
              </w:rPr>
              <w:t>种尘肺病全部纳入重点职业病监测内容。</w:t>
            </w:r>
          </w:p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2.</w:t>
            </w:r>
            <w:r>
              <w:rPr>
                <w:rFonts w:ascii="仿宋_GB2312" w:hAnsi="宋体" w:hint="eastAsia"/>
                <w:bCs/>
                <w:sz w:val="24"/>
              </w:rPr>
              <w:t>做好尘肺病患者分类救治救助工作，对于基本生活有困难的尘肺病患者，统筹利用各项政策做好保障工作。</w:t>
            </w:r>
          </w:p>
        </w:tc>
        <w:tc>
          <w:tcPr>
            <w:tcW w:w="4779" w:type="dxa"/>
            <w:noWrap/>
            <w:vAlign w:val="center"/>
          </w:tcPr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1.</w:t>
            </w:r>
            <w:r>
              <w:rPr>
                <w:rFonts w:ascii="仿宋_GB2312" w:hAnsi="宋体" w:hint="eastAsia"/>
                <w:bCs/>
                <w:sz w:val="24"/>
              </w:rPr>
              <w:t>摸清报告职业性尘肺病患者的健康状况。</w:t>
            </w:r>
          </w:p>
          <w:p w:rsidR="008804EB" w:rsidRDefault="008804EB" w:rsidP="00145251">
            <w:pPr>
              <w:spacing w:line="32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2.</w:t>
            </w:r>
            <w:r>
              <w:rPr>
                <w:rFonts w:ascii="仿宋_GB2312" w:hAnsi="宋体" w:hint="eastAsia"/>
                <w:bCs/>
                <w:sz w:val="24"/>
              </w:rPr>
              <w:t>制定尘肺病患者实施分类救治救助相关措施，不断扩大重点行业工伤保险覆盖面，尘肺病患者救治救助水平明显提高，稳步提高被归因诊断为职业性尘肺病患者的保障水平。</w:t>
            </w:r>
          </w:p>
        </w:tc>
        <w:tc>
          <w:tcPr>
            <w:tcW w:w="2120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市卫健委、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人社局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、财政局、民政局、司法局、国资委、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保局按职责分工负责，各县（市、区）人民政府、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东侨经济技术开发区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管委会落</w:t>
            </w:r>
            <w:r>
              <w:rPr>
                <w:rFonts w:ascii="仿宋_GB2312" w:hAnsi="宋体" w:hint="eastAsia"/>
                <w:bCs/>
                <w:sz w:val="24"/>
              </w:rPr>
              <w:lastRenderedPageBreak/>
              <w:t>实。</w:t>
            </w:r>
          </w:p>
        </w:tc>
      </w:tr>
      <w:tr w:rsidR="008804EB" w:rsidTr="00145251">
        <w:trPr>
          <w:trHeight w:val="2406"/>
          <w:jc w:val="center"/>
        </w:trPr>
        <w:tc>
          <w:tcPr>
            <w:tcW w:w="1334" w:type="dxa"/>
            <w:noWrap/>
            <w:vAlign w:val="center"/>
          </w:tcPr>
          <w:p w:rsidR="008804EB" w:rsidRDefault="008804EB" w:rsidP="00145251">
            <w:pPr>
              <w:spacing w:afterLines="50" w:line="3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三、职业健康监管执法行动</w:t>
            </w:r>
          </w:p>
        </w:tc>
        <w:tc>
          <w:tcPr>
            <w:tcW w:w="2321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职业健康监管队伍和执法装备得到加强；职业健康监管执法力度加大，职业健康违法违规行为明显减少。</w:t>
            </w:r>
          </w:p>
        </w:tc>
        <w:tc>
          <w:tcPr>
            <w:tcW w:w="4232" w:type="dxa"/>
            <w:noWrap/>
            <w:vAlign w:val="center"/>
          </w:tcPr>
          <w:p w:rsidR="008804EB" w:rsidRDefault="008804EB" w:rsidP="00145251">
            <w:pPr>
              <w:tabs>
                <w:tab w:val="left" w:pos="312"/>
              </w:tabs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1.</w:t>
            </w:r>
            <w:r>
              <w:rPr>
                <w:rFonts w:ascii="仿宋_GB2312" w:hAnsi="宋体" w:hint="eastAsia"/>
                <w:bCs/>
                <w:sz w:val="24"/>
              </w:rPr>
              <w:t>完成市本级和重点粉尘危害县（市、区）的职业健康监管执法装备配备建设。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2.</w:t>
            </w:r>
            <w:r>
              <w:rPr>
                <w:rFonts w:ascii="仿宋_GB2312" w:hAnsi="宋体" w:hint="eastAsia"/>
                <w:bCs/>
                <w:sz w:val="24"/>
              </w:rPr>
              <w:t>非煤矿山、冶金、建材、陶瓷制造、水泥制造、石材加工等重点行业领域新增建设项目职业病防护设施“三同时”实施率达到</w:t>
            </w:r>
            <w:r>
              <w:rPr>
                <w:rFonts w:ascii="仿宋_GB2312" w:hAnsi="宋体"/>
                <w:bCs/>
                <w:sz w:val="24"/>
              </w:rPr>
              <w:t>95%</w:t>
            </w:r>
            <w:r>
              <w:rPr>
                <w:rFonts w:ascii="仿宋_GB2312" w:hAnsi="宋体" w:hint="eastAsia"/>
                <w:bCs/>
                <w:sz w:val="24"/>
              </w:rPr>
              <w:t>以上。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3.</w:t>
            </w:r>
            <w:r>
              <w:rPr>
                <w:rFonts w:ascii="仿宋_GB2312" w:hAnsi="宋体" w:hint="eastAsia"/>
                <w:bCs/>
                <w:sz w:val="24"/>
              </w:rPr>
              <w:t>非煤矿山、冶金、建材等重点行业领域监督检查覆盖率达到</w:t>
            </w:r>
            <w:r>
              <w:rPr>
                <w:rFonts w:ascii="仿宋_GB2312" w:hAnsi="宋体"/>
                <w:bCs/>
                <w:sz w:val="24"/>
              </w:rPr>
              <w:t>60%</w:t>
            </w:r>
            <w:r>
              <w:rPr>
                <w:rFonts w:ascii="仿宋_GB2312" w:hAnsi="宋体" w:hint="eastAsia"/>
                <w:bCs/>
                <w:sz w:val="24"/>
              </w:rPr>
              <w:t>以上，职业健康违法违规行为明显减少。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4.</w:t>
            </w:r>
            <w:r>
              <w:rPr>
                <w:rFonts w:ascii="仿宋_GB2312" w:hAnsi="宋体" w:hint="eastAsia"/>
                <w:bCs/>
                <w:sz w:val="24"/>
              </w:rPr>
              <w:t>职业健康监管执法人员培训率达到</w:t>
            </w:r>
            <w:r>
              <w:rPr>
                <w:rFonts w:ascii="仿宋_GB2312" w:hAnsi="宋体"/>
                <w:bCs/>
                <w:sz w:val="24"/>
              </w:rPr>
              <w:t>100%</w:t>
            </w:r>
            <w:r>
              <w:rPr>
                <w:rFonts w:ascii="仿宋_GB2312" w:hAnsi="宋体" w:hint="eastAsia"/>
                <w:bCs/>
                <w:sz w:val="24"/>
              </w:rPr>
              <w:t>。</w:t>
            </w:r>
          </w:p>
        </w:tc>
        <w:tc>
          <w:tcPr>
            <w:tcW w:w="4779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1.</w:t>
            </w:r>
            <w:r>
              <w:rPr>
                <w:rFonts w:ascii="仿宋_GB2312" w:hAnsi="宋体" w:hint="eastAsia"/>
                <w:bCs/>
                <w:sz w:val="24"/>
              </w:rPr>
              <w:t>基本完成各县（市、区）职业健康执法装备建设，职业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健康监督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执法能力有较大提高，基本建成职业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健康监督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执法网络，市、县两级有监督执法力量，乡镇和街道有专兼职执法人员或协管员。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2.</w:t>
            </w:r>
            <w:r>
              <w:rPr>
                <w:rFonts w:ascii="仿宋_GB2312" w:hAnsi="宋体" w:hint="eastAsia"/>
                <w:bCs/>
                <w:sz w:val="24"/>
              </w:rPr>
              <w:t>非煤矿山、冶金、建材等重点行业领域新增建设项目职业病防护设施“三同时”实施率达到</w:t>
            </w:r>
            <w:r>
              <w:rPr>
                <w:rFonts w:ascii="仿宋_GB2312" w:hAnsi="宋体"/>
                <w:bCs/>
                <w:sz w:val="24"/>
              </w:rPr>
              <w:t>95%</w:t>
            </w:r>
            <w:r>
              <w:rPr>
                <w:rFonts w:ascii="仿宋_GB2312" w:hAnsi="宋体" w:hint="eastAsia"/>
                <w:bCs/>
                <w:sz w:val="24"/>
              </w:rPr>
              <w:t>以上。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3.</w:t>
            </w:r>
            <w:r>
              <w:rPr>
                <w:rFonts w:ascii="仿宋_GB2312" w:hAnsi="宋体" w:hint="eastAsia"/>
                <w:bCs/>
                <w:sz w:val="24"/>
              </w:rPr>
              <w:t>非煤矿山、冶金、建材、陶瓷制造、水泥制造、石材加工等重点行业领域监督检查覆盖率达到</w:t>
            </w:r>
            <w:r>
              <w:rPr>
                <w:rFonts w:ascii="仿宋_GB2312" w:hAnsi="宋体"/>
                <w:bCs/>
                <w:sz w:val="24"/>
              </w:rPr>
              <w:t>95%</w:t>
            </w:r>
            <w:r>
              <w:rPr>
                <w:rFonts w:ascii="仿宋_GB2312" w:hAnsi="宋体" w:hint="eastAsia"/>
                <w:bCs/>
                <w:sz w:val="24"/>
              </w:rPr>
              <w:t>以上，职业健康违法违规行为大幅减少。</w:t>
            </w:r>
          </w:p>
        </w:tc>
        <w:tc>
          <w:tcPr>
            <w:tcW w:w="2120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市卫健委、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发改委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按职责分工负责，各县（市、区）人民政府、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东侨经济技术开发区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管委会落实。</w:t>
            </w:r>
          </w:p>
        </w:tc>
      </w:tr>
      <w:tr w:rsidR="008804EB" w:rsidTr="00145251">
        <w:trPr>
          <w:trHeight w:val="1972"/>
          <w:jc w:val="center"/>
        </w:trPr>
        <w:tc>
          <w:tcPr>
            <w:tcW w:w="1334" w:type="dxa"/>
            <w:noWrap/>
            <w:vAlign w:val="center"/>
          </w:tcPr>
          <w:p w:rsidR="008804EB" w:rsidRDefault="008804EB" w:rsidP="00145251">
            <w:pPr>
              <w:spacing w:afterLines="50" w:line="3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四、用人单位主体责任落实行动</w:t>
            </w:r>
          </w:p>
        </w:tc>
        <w:tc>
          <w:tcPr>
            <w:tcW w:w="2321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用人单位尘肺病防治主体责任得到进一步落实，尘肺病防治管理水平得到提升。</w:t>
            </w:r>
          </w:p>
        </w:tc>
        <w:tc>
          <w:tcPr>
            <w:tcW w:w="4232" w:type="dxa"/>
            <w:noWrap/>
            <w:vAlign w:val="center"/>
          </w:tcPr>
          <w:p w:rsidR="008804EB" w:rsidRDefault="008804EB" w:rsidP="00145251"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重点行业企业劳动合同签订率不断提高。</w:t>
            </w:r>
          </w:p>
          <w:p w:rsidR="008804EB" w:rsidRDefault="008804EB" w:rsidP="00145251"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劳动者依法参加工伤保险覆盖率达到</w:t>
            </w:r>
            <w:r>
              <w:rPr>
                <w:rFonts w:ascii="仿宋_GB2312" w:hAnsi="宋体"/>
                <w:bCs/>
                <w:sz w:val="24"/>
              </w:rPr>
              <w:t>70%</w:t>
            </w:r>
            <w:r>
              <w:rPr>
                <w:rFonts w:ascii="仿宋_GB2312" w:hAnsi="宋体" w:hint="eastAsia"/>
                <w:bCs/>
                <w:sz w:val="24"/>
              </w:rPr>
              <w:t>以上。</w:t>
            </w:r>
          </w:p>
          <w:p w:rsidR="008804EB" w:rsidRDefault="008804EB" w:rsidP="00145251"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启动“健康企业”建设活动。</w:t>
            </w:r>
          </w:p>
        </w:tc>
        <w:tc>
          <w:tcPr>
            <w:tcW w:w="4779" w:type="dxa"/>
            <w:noWrap/>
            <w:vAlign w:val="center"/>
          </w:tcPr>
          <w:p w:rsidR="008804EB" w:rsidRDefault="008804EB" w:rsidP="00145251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重点行业企业普遍依法与劳动者签订劳动合同。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2.</w:t>
            </w:r>
            <w:r>
              <w:rPr>
                <w:rFonts w:ascii="仿宋_GB2312" w:hAnsi="宋体" w:hint="eastAsia"/>
                <w:bCs/>
                <w:sz w:val="24"/>
              </w:rPr>
              <w:t>劳动者依法参加工伤保险覆盖率达到</w:t>
            </w:r>
            <w:r>
              <w:rPr>
                <w:rFonts w:ascii="仿宋_GB2312" w:hAnsi="宋体"/>
                <w:bCs/>
                <w:sz w:val="24"/>
              </w:rPr>
              <w:t>80%</w:t>
            </w:r>
            <w:r>
              <w:rPr>
                <w:rFonts w:ascii="仿宋_GB2312" w:hAnsi="宋体" w:hint="eastAsia"/>
                <w:bCs/>
                <w:sz w:val="24"/>
              </w:rPr>
              <w:t>以上。</w:t>
            </w:r>
          </w:p>
        </w:tc>
        <w:tc>
          <w:tcPr>
            <w:tcW w:w="2120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市卫健委、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人社局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、国资委、总工会、税务局按职责分工负责，各县（市、区）人民政府、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东侨经济技术开发区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管委会落实。</w:t>
            </w:r>
          </w:p>
        </w:tc>
      </w:tr>
      <w:tr w:rsidR="008804EB" w:rsidTr="00145251">
        <w:trPr>
          <w:trHeight w:val="2660"/>
          <w:jc w:val="center"/>
        </w:trPr>
        <w:tc>
          <w:tcPr>
            <w:tcW w:w="1334" w:type="dxa"/>
            <w:noWrap/>
            <w:vAlign w:val="center"/>
          </w:tcPr>
          <w:p w:rsidR="008804EB" w:rsidRDefault="008804EB" w:rsidP="00145251">
            <w:pPr>
              <w:spacing w:afterLines="50" w:line="3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五、防治技术能力提升行动</w:t>
            </w:r>
          </w:p>
        </w:tc>
        <w:tc>
          <w:tcPr>
            <w:tcW w:w="2321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职业病防治技术支撑能力有较大提升。</w:t>
            </w:r>
          </w:p>
        </w:tc>
        <w:tc>
          <w:tcPr>
            <w:tcW w:w="4232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在市、县两级疾病控制中心设立职业病防治工作的内设机构。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779" w:type="dxa"/>
            <w:noWrap/>
            <w:vAlign w:val="center"/>
          </w:tcPr>
          <w:p w:rsidR="008804EB" w:rsidRDefault="008804EB" w:rsidP="00145251">
            <w:pPr>
              <w:tabs>
                <w:tab w:val="left" w:pos="312"/>
              </w:tabs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1.</w:t>
            </w:r>
            <w:r>
              <w:rPr>
                <w:rFonts w:ascii="仿宋_GB2312" w:hAnsi="宋体" w:hint="eastAsia"/>
                <w:bCs/>
                <w:sz w:val="24"/>
              </w:rPr>
              <w:t>确定</w:t>
            </w:r>
            <w:r>
              <w:rPr>
                <w:rFonts w:ascii="仿宋_GB2312" w:hAnsi="宋体"/>
                <w:bCs/>
                <w:sz w:val="24"/>
              </w:rPr>
              <w:t>1</w:t>
            </w:r>
            <w:r>
              <w:rPr>
                <w:rFonts w:ascii="仿宋_GB2312" w:hAnsi="宋体" w:hint="eastAsia"/>
                <w:bCs/>
                <w:sz w:val="24"/>
              </w:rPr>
              <w:t>家医疗卫生机构承担职业病诊断工作。</w:t>
            </w:r>
          </w:p>
          <w:p w:rsidR="008804EB" w:rsidRDefault="008804EB" w:rsidP="00145251">
            <w:pPr>
              <w:tabs>
                <w:tab w:val="left" w:pos="312"/>
              </w:tabs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2.</w:t>
            </w:r>
            <w:r>
              <w:rPr>
                <w:rFonts w:ascii="仿宋_GB2312" w:hAnsi="宋体" w:hint="eastAsia"/>
                <w:sz w:val="24"/>
              </w:rPr>
              <w:t>每个县（市、区）</w:t>
            </w:r>
            <w:r>
              <w:rPr>
                <w:rFonts w:ascii="仿宋_GB2312" w:hAnsi="宋体" w:hint="eastAsia"/>
                <w:bCs/>
                <w:sz w:val="24"/>
              </w:rPr>
              <w:t>至少确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家医疗卫生机构承担职业健康</w:t>
            </w:r>
            <w:bookmarkStart w:id="0" w:name="_GoBack"/>
            <w:bookmarkEnd w:id="0"/>
            <w:r>
              <w:rPr>
                <w:rFonts w:ascii="仿宋_GB2312" w:hAnsi="宋体" w:hint="eastAsia"/>
                <w:sz w:val="24"/>
              </w:rPr>
              <w:t>检查工作</w:t>
            </w:r>
            <w:r>
              <w:rPr>
                <w:rFonts w:ascii="仿宋_GB2312" w:hAnsi="宋体" w:hint="eastAsia"/>
                <w:bCs/>
                <w:sz w:val="24"/>
              </w:rPr>
              <w:t>。</w:t>
            </w:r>
          </w:p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120" w:type="dxa"/>
            <w:noWrap/>
            <w:vAlign w:val="center"/>
          </w:tcPr>
          <w:p w:rsidR="008804EB" w:rsidRDefault="008804EB" w:rsidP="00145251">
            <w:pPr>
              <w:adjustRightInd w:val="0"/>
              <w:snapToGrid w:val="0"/>
              <w:spacing w:line="280" w:lineRule="exact"/>
              <w:ind w:rightChars="73" w:right="232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市卫健委、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发改委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按职责分工负责，各县（市、区）人民政府、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东侨经济技术开发区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管委会落实。</w:t>
            </w:r>
          </w:p>
        </w:tc>
      </w:tr>
    </w:tbl>
    <w:p w:rsidR="008804EB" w:rsidRDefault="008804EB" w:rsidP="008804EB">
      <w:pPr>
        <w:snapToGrid w:val="0"/>
        <w:spacing w:line="560" w:lineRule="exact"/>
        <w:ind w:right="24"/>
        <w:sectPr w:rsidR="008804EB" w:rsidSect="00690400">
          <w:headerReference w:type="default" r:id="rId5"/>
          <w:footerReference w:type="even" r:id="rId6"/>
          <w:footerReference w:type="default" r:id="rId7"/>
          <w:footerReference w:type="first" r:id="rId8"/>
          <w:pgSz w:w="16838" w:h="11906" w:orient="landscape" w:code="9"/>
          <w:pgMar w:top="1588" w:right="2098" w:bottom="1418" w:left="1588" w:header="851" w:footer="1361" w:gutter="0"/>
          <w:cols w:space="425"/>
          <w:docGrid w:type="linesAndChars" w:linePitch="597" w:charSpace="-439"/>
        </w:sectPr>
      </w:pPr>
    </w:p>
    <w:p w:rsidR="008129E0" w:rsidRPr="008804EB" w:rsidRDefault="008129E0"/>
    <w:sectPr w:rsidR="008129E0" w:rsidRPr="008804EB" w:rsidSect="008804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C6" w:rsidRDefault="008804EB" w:rsidP="006929A0">
    <w:pPr>
      <w:pStyle w:val="a4"/>
      <w:framePr w:wrap="around" w:vAnchor="text" w:hAnchor="margin" w:xAlign="outside" w:y="1"/>
      <w:ind w:leftChars="100" w:left="320" w:rightChars="100" w:right="320"/>
      <w:jc w:val="center"/>
      <w:rPr>
        <w:rStyle w:val="a5"/>
      </w:rPr>
    </w:pPr>
    <w:r w:rsidRPr="001C40A9">
      <w:rPr>
        <w:rStyle w:val="a5"/>
        <w:rFonts w:ascii="宋体" w:eastAsia="宋体" w:hAnsi="宋体" w:hint="eastAsia"/>
        <w:sz w:val="28"/>
      </w:rPr>
      <w:t>—</w:t>
    </w:r>
    <w:r w:rsidRPr="001C40A9">
      <w:rPr>
        <w:rStyle w:val="a5"/>
        <w:rFonts w:ascii="宋体" w:eastAsia="宋体" w:hAnsi="宋体"/>
        <w:sz w:val="28"/>
      </w:rPr>
      <w:t xml:space="preserve"> </w:t>
    </w:r>
    <w:r w:rsidRPr="001C40A9">
      <w:rPr>
        <w:rStyle w:val="a5"/>
        <w:rFonts w:ascii="宋体" w:eastAsia="宋体" w:hAnsi="宋体"/>
        <w:sz w:val="28"/>
      </w:rPr>
      <w:fldChar w:fldCharType="begin"/>
    </w:r>
    <w:r w:rsidRPr="001C40A9">
      <w:rPr>
        <w:rStyle w:val="a5"/>
        <w:rFonts w:ascii="宋体" w:eastAsia="宋体" w:hAnsi="宋体"/>
        <w:sz w:val="28"/>
      </w:rPr>
      <w:instrText xml:space="preserve">PAGE  </w:instrText>
    </w:r>
    <w:r w:rsidRPr="001C40A9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14</w:t>
    </w:r>
    <w:r w:rsidRPr="001C40A9">
      <w:rPr>
        <w:rStyle w:val="a5"/>
        <w:rFonts w:ascii="宋体" w:eastAsia="宋体" w:hAnsi="宋体"/>
        <w:sz w:val="28"/>
      </w:rPr>
      <w:fldChar w:fldCharType="end"/>
    </w:r>
    <w:r w:rsidRPr="001C40A9">
      <w:rPr>
        <w:rStyle w:val="a5"/>
        <w:rFonts w:ascii="宋体" w:eastAsia="宋体" w:hAnsi="宋体"/>
        <w:sz w:val="28"/>
      </w:rPr>
      <w:t xml:space="preserve"> —</w:t>
    </w:r>
  </w:p>
  <w:p w:rsidR="000433C6" w:rsidRPr="001C40A9" w:rsidRDefault="008804EB" w:rsidP="001C40A9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C6" w:rsidRDefault="008804EB" w:rsidP="006929A0">
    <w:pPr>
      <w:pStyle w:val="a4"/>
      <w:framePr w:wrap="around" w:vAnchor="text" w:hAnchor="margin" w:xAlign="outside" w:y="1"/>
      <w:ind w:leftChars="100" w:left="320" w:rightChars="100" w:right="320"/>
      <w:jc w:val="center"/>
      <w:rPr>
        <w:rStyle w:val="a5"/>
      </w:rPr>
    </w:pPr>
    <w:r w:rsidRPr="001C40A9">
      <w:rPr>
        <w:rStyle w:val="a5"/>
        <w:rFonts w:ascii="宋体" w:eastAsia="宋体" w:hAnsi="宋体" w:hint="eastAsia"/>
        <w:sz w:val="28"/>
      </w:rPr>
      <w:t>—</w:t>
    </w:r>
    <w:r w:rsidRPr="001C40A9">
      <w:rPr>
        <w:rStyle w:val="a5"/>
        <w:rFonts w:ascii="宋体" w:eastAsia="宋体" w:hAnsi="宋体"/>
        <w:sz w:val="28"/>
      </w:rPr>
      <w:t xml:space="preserve"> </w:t>
    </w:r>
    <w:r w:rsidRPr="001C40A9">
      <w:rPr>
        <w:rStyle w:val="a5"/>
        <w:rFonts w:ascii="宋体" w:eastAsia="宋体" w:hAnsi="宋体"/>
        <w:sz w:val="28"/>
      </w:rPr>
      <w:fldChar w:fldCharType="begin"/>
    </w:r>
    <w:r w:rsidRPr="001C40A9">
      <w:rPr>
        <w:rStyle w:val="a5"/>
        <w:rFonts w:ascii="宋体" w:eastAsia="宋体" w:hAnsi="宋体"/>
        <w:sz w:val="28"/>
      </w:rPr>
      <w:instrText xml:space="preserve">PAGE  </w:instrText>
    </w:r>
    <w:r w:rsidRPr="001C40A9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</w:t>
    </w:r>
    <w:r w:rsidRPr="001C40A9">
      <w:rPr>
        <w:rStyle w:val="a5"/>
        <w:rFonts w:ascii="宋体" w:eastAsia="宋体" w:hAnsi="宋体"/>
        <w:sz w:val="28"/>
      </w:rPr>
      <w:fldChar w:fldCharType="end"/>
    </w:r>
    <w:r w:rsidRPr="001C40A9">
      <w:rPr>
        <w:rStyle w:val="a5"/>
        <w:rFonts w:ascii="宋体" w:eastAsia="宋体" w:hAnsi="宋体"/>
        <w:sz w:val="28"/>
      </w:rPr>
      <w:t xml:space="preserve"> —</w:t>
    </w:r>
  </w:p>
  <w:p w:rsidR="000433C6" w:rsidRPr="001C40A9" w:rsidRDefault="008804EB" w:rsidP="001C40A9">
    <w:pPr>
      <w:pStyle w:val="a4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C6" w:rsidRDefault="008804EB">
    <w:pPr>
      <w:pStyle w:val="a4"/>
    </w:pPr>
    <w:r>
      <w:rPr>
        <w:noProof/>
      </w:rPr>
      <w:pict>
        <v:line id="DocMarkLine" o:spid="_x0000_s1025" style="position:absolute;z-index:251660288;visibility:visible;mso-position-vertical-relative:page" from="-18.45pt,781.35pt" to="463.45pt,781.35pt" strokecolor="red" strokeweight="4.5pt">
          <v:stroke linestyle="thinThick"/>
          <w10:wrap anchory="pag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C6" w:rsidRDefault="008804EB" w:rsidP="00627F6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84083"/>
    <w:multiLevelType w:val="singleLevel"/>
    <w:tmpl w:val="9ED8408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F5C76C23"/>
    <w:multiLevelType w:val="singleLevel"/>
    <w:tmpl w:val="F5C76C2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40339D51"/>
    <w:multiLevelType w:val="singleLevel"/>
    <w:tmpl w:val="40339D51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64484DD0"/>
    <w:multiLevelType w:val="singleLevel"/>
    <w:tmpl w:val="64484DD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804EB"/>
    <w:rsid w:val="008129E0"/>
    <w:rsid w:val="008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04E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8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4E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88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2020-01-08T08:01:00Z</dcterms:created>
  <dcterms:modified xsi:type="dcterms:W3CDTF">2020-01-08T08:02:00Z</dcterms:modified>
</cp:coreProperties>
</file>