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24"/>
        <w:rPr>
          <w:rFonts w:hint="eastAsia" w:ascii="黑体" w:eastAsia="黑体"/>
          <w:sz w:val="30"/>
        </w:rPr>
      </w:pPr>
    </w:p>
    <w:p>
      <w:pPr>
        <w:ind w:right="24"/>
        <w:rPr>
          <w:rFonts w:hint="eastAsia" w:ascii="黑体" w:eastAsia="黑体"/>
          <w:sz w:val="30"/>
        </w:rPr>
      </w:pPr>
    </w:p>
    <w:p>
      <w:pPr>
        <w:ind w:right="24"/>
        <w:rPr>
          <w:rFonts w:hint="eastAsia" w:ascii="黑体" w:eastAsia="黑体"/>
        </w:rPr>
      </w:pPr>
      <w:r>
        <w:rPr>
          <w:sz w:val="20"/>
          <w:lang/>
        </w:rPr>
        <mc:AlternateContent>
          <mc:Choice Requires="wps">
            <w:drawing>
              <wp:anchor distT="0" distB="0" distL="114300" distR="114300" simplePos="0" relativeHeight="251661312" behindDoc="0" locked="0" layoutInCell="1" allowOverlap="1">
                <wp:simplePos x="0" y="0"/>
                <wp:positionH relativeFrom="column">
                  <wp:posOffset>-191135</wp:posOffset>
                </wp:positionH>
                <wp:positionV relativeFrom="page">
                  <wp:posOffset>2232025</wp:posOffset>
                </wp:positionV>
                <wp:extent cx="5925185" cy="1102995"/>
                <wp:effectExtent l="0" t="0" r="0" b="0"/>
                <wp:wrapNone/>
                <wp:docPr id="3" name="SubjectText"/>
                <wp:cNvGraphicFramePr/>
                <a:graphic xmlns:a="http://schemas.openxmlformats.org/drawingml/2006/main">
                  <a:graphicData uri="http://schemas.microsoft.com/office/word/2010/wordprocessingShape">
                    <wps:wsp>
                      <wps:cNvSpPr txBox="1"/>
                      <wps:spPr>
                        <a:xfrm>
                          <a:off x="0" y="0"/>
                          <a:ext cx="5925185" cy="1102995"/>
                        </a:xfrm>
                        <a:prstGeom prst="rect">
                          <a:avLst/>
                        </a:prstGeom>
                        <a:noFill/>
                        <a:ln>
                          <a:noFill/>
                        </a:ln>
                      </wps:spPr>
                      <wps:txbx>
                        <w:txbxContent>
                          <w:p>
                            <w:pPr>
                              <w:pStyle w:val="2"/>
                              <w:rPr>
                                <w:rFonts w:hint="eastAsia" w:ascii="方正小标宋简体" w:hAnsi="方正小标宋简体" w:eastAsia="方正小标宋简体" w:cs="方正小标宋简体"/>
                                <w:b w:val="0"/>
                                <w:bCs/>
                                <w:spacing w:val="0"/>
                                <w:w w:val="66"/>
                                <w:sz w:val="100"/>
                                <w:szCs w:val="100"/>
                              </w:rPr>
                            </w:pPr>
                            <w:bookmarkStart w:id="1003" w:name="RedHead"/>
                            <w:r>
                              <w:rPr>
                                <w:rFonts w:hint="eastAsia" w:ascii="方正小标宋简体" w:hAnsi="方正小标宋简体" w:eastAsia="方正小标宋简体" w:cs="方正小标宋简体"/>
                                <w:b w:val="0"/>
                                <w:bCs/>
                                <w:color w:val="FF0000"/>
                                <w:spacing w:val="0"/>
                                <w:w w:val="66"/>
                                <w:sz w:val="100"/>
                                <w:szCs w:val="100"/>
                              </w:rPr>
                              <w:t>宁德市人民政府办公室文件</w:t>
                            </w:r>
                            <w:bookmarkEnd w:id="1003"/>
                          </w:p>
                        </w:txbxContent>
                      </wps:txbx>
                      <wps:bodyPr wrap="square" lIns="0" tIns="0" rIns="0" bIns="0" upright="1"/>
                    </wps:wsp>
                  </a:graphicData>
                </a:graphic>
              </wp:anchor>
            </w:drawing>
          </mc:Choice>
          <mc:Fallback>
            <w:pict>
              <v:shape id="SubjectText" o:spid="_x0000_s1026" o:spt="202" type="#_x0000_t202" style="position:absolute;left:0pt;margin-left:-15.05pt;margin-top:175.75pt;height:86.85pt;width:466.55pt;mso-position-vertical-relative:page;z-index:251661312;mso-width-relative:page;mso-height-relative:page;" filled="f" stroked="f" coordsize="21600,21600" wrapcoords="0 0 21600 0 21600 21600 0 21600 0 0" o:gfxdata="UEsDBAoAAAAAAIdO4kAAAAAAAAAAAAAAAAAEAAAAZHJzL1BLAwQUAAAACACHTuJAsH82ANoAAAAL&#10;AQAADwAAAGRycy9kb3ducmV2LnhtbE2Py07DMBBF90j9B2sqsWvtJEpFQ5wKIVghIdKwYOnEbmI1&#10;HofYffD3DCu6HM3RveeWu6sb2dnMwXqUkKwFMIOd1xZ7CZ/N6+oBWIgKtRo9Ggk/JsCuWtyVqtD+&#10;grU572PPKARDoSQMMU4F56EbjFNh7SeD9Dv42alI59xzPasLhbuRp0JsuFMWqWFQk3keTHfcn5yE&#10;py+sX+z3e/tRH2rbNFuBb5ujlPfLRDwCi+Ya/2H40yd1qMip9SfUgY0SVplICJWQ5UkOjIityGhd&#10;KyFP8xR4VfLbDdUvUEsDBBQAAAAIAIdO4kDhyHWMuAEAAIEDAAAOAAAAZHJzL2Uyb0RvYy54bWyt&#10;U02P0zAQvSPxHyzfaZKuirZR05VW1SIkBEhdfoDj2I2Rv/A4TfrvGTtNF5bLHrg4k5nJm/feOLuH&#10;yWhyFgGUsw2tViUlwnLXKXtq6I/npw/3lEBktmPaWdHQiwD6sH//bjf6Wqxd73QnAkEQC/XoG9rH&#10;6OuiAN4Lw2DlvLBYlC4YFvE1nIousBHRjS7WZfmxGF3ofHBcAGD2MBfpFTG8BdBJqbg4OD4YYeOM&#10;GoRmESVBrzzQfWYrpeDxm5QgItENRaUxnzgE4zadxX7H6lNgvlf8SoG9hcIrTYYpi0NvUAcWGRmC&#10;+gfKKB4cOBlX3JliFpIdQRVV+cqbY8+8yFrQavA30+H/wfKv5++BqK6hd5RYZnDhx6H9ib49iykm&#10;e0YPNXYdPfbF6dFNeGmWPGAyqZ5kMOmJegjW0dzLzVyEIRyTm+16U91vKOFYq6pyvd1uEk7x8rkP&#10;ED8JZ0gKGhqQRTaVnb9AnFuXljTNuieldd6gtn8lEDNlisR95piiOLXTVVDrugvqGXHxDYVfAwuC&#10;Ev3ZorPplixBWIJ2CQYf1KlHctmDPAA3k1Vcb1Fa/Z/vmcbLn7P/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B/NgDaAAAACwEAAA8AAAAAAAAAAQAgAAAAIgAAAGRycy9kb3ducmV2LnhtbFBLAQIU&#10;ABQAAAAIAIdO4kDhyHWMuAEAAIEDAAAOAAAAAAAAAAEAIAAAACkBAABkcnMvZTJvRG9jLnhtbFBL&#10;BQYAAAAABgAGAFkBAABTBQAAAAA=&#10;">
                <v:fill on="f" focussize="0,0"/>
                <v:stroke on="f"/>
                <v:imagedata o:title=""/>
                <o:lock v:ext="edit" aspectratio="f"/>
                <v:textbox inset="0mm,0mm,0mm,0mm">
                  <w:txbxContent>
                    <w:p>
                      <w:pPr>
                        <w:pStyle w:val="2"/>
                        <w:rPr>
                          <w:rFonts w:hint="eastAsia" w:ascii="方正小标宋简体" w:hAnsi="方正小标宋简体" w:eastAsia="方正小标宋简体" w:cs="方正小标宋简体"/>
                          <w:b w:val="0"/>
                          <w:bCs/>
                          <w:spacing w:val="0"/>
                          <w:w w:val="66"/>
                          <w:sz w:val="100"/>
                          <w:szCs w:val="100"/>
                        </w:rPr>
                      </w:pPr>
                      <w:bookmarkStart w:id="1003" w:name="RedHead"/>
                      <w:r>
                        <w:rPr>
                          <w:rFonts w:hint="eastAsia" w:ascii="方正小标宋简体" w:hAnsi="方正小标宋简体" w:eastAsia="方正小标宋简体" w:cs="方正小标宋简体"/>
                          <w:b w:val="0"/>
                          <w:bCs/>
                          <w:color w:val="FF0000"/>
                          <w:spacing w:val="0"/>
                          <w:w w:val="66"/>
                          <w:sz w:val="100"/>
                          <w:szCs w:val="100"/>
                        </w:rPr>
                        <w:t>宁德市人民政府办公室文件</w:t>
                      </w:r>
                      <w:bookmarkEnd w:id="1003"/>
                    </w:p>
                  </w:txbxContent>
                </v:textbox>
              </v:shape>
            </w:pict>
          </mc:Fallback>
        </mc:AlternateContent>
      </w:r>
      <w:r>
        <w:rPr>
          <w:rFonts w:hint="eastAsia" w:ascii="黑体" w:eastAsia="黑体"/>
        </w:rPr>
        <w:t xml:space="preserve"> </w:t>
      </w:r>
    </w:p>
    <w:p>
      <w:pPr>
        <w:ind w:right="24"/>
        <w:jc w:val="right"/>
        <w:rPr>
          <w:rFonts w:hint="eastAsia"/>
        </w:rPr>
      </w:pPr>
    </w:p>
    <w:p>
      <w:pPr>
        <w:jc w:val="left"/>
      </w:pPr>
    </w:p>
    <w:p>
      <w:pPr>
        <w:adjustRightInd w:val="0"/>
        <w:snapToGrid w:val="0"/>
        <w:spacing w:line="620" w:lineRule="exact"/>
        <w:jc w:val="left"/>
        <w:rPr>
          <w:rFonts w:hint="eastAsia"/>
        </w:rPr>
      </w:pPr>
    </w:p>
    <w:p>
      <w:pPr>
        <w:jc w:val="left"/>
        <w:rPr>
          <w:rFonts w:hint="eastAsia"/>
        </w:rPr>
      </w:pPr>
      <w:r>
        <w:rPr>
          <w:rFonts w:ascii="仿宋_GB2312" w:hAnsi="宋体"/>
          <w:b/>
          <w:sz w:val="20"/>
          <w:lang/>
        </w:rPr>
        <mc:AlternateContent>
          <mc:Choice Requires="wps">
            <w:drawing>
              <wp:anchor distT="0" distB="0" distL="114300" distR="114300" simplePos="0" relativeHeight="251660288" behindDoc="0" locked="0" layoutInCell="1" allowOverlap="1">
                <wp:simplePos x="0" y="0"/>
                <wp:positionH relativeFrom="column">
                  <wp:posOffset>1223645</wp:posOffset>
                </wp:positionH>
                <wp:positionV relativeFrom="paragraph">
                  <wp:posOffset>41910</wp:posOffset>
                </wp:positionV>
                <wp:extent cx="3343275" cy="412750"/>
                <wp:effectExtent l="0" t="0" r="0" b="0"/>
                <wp:wrapNone/>
                <wp:docPr id="2" name="DocWord"/>
                <wp:cNvGraphicFramePr/>
                <a:graphic xmlns:a="http://schemas.openxmlformats.org/drawingml/2006/main">
                  <a:graphicData uri="http://schemas.microsoft.com/office/word/2010/wordprocessingShape">
                    <wps:wsp>
                      <wps:cNvSpPr txBox="1"/>
                      <wps:spPr>
                        <a:xfrm>
                          <a:off x="0" y="0"/>
                          <a:ext cx="3343275" cy="412750"/>
                        </a:xfrm>
                        <a:prstGeom prst="rect">
                          <a:avLst/>
                        </a:prstGeom>
                        <a:noFill/>
                        <a:ln>
                          <a:noFill/>
                        </a:ln>
                      </wps:spPr>
                      <wps:txbx>
                        <w:txbxContent>
                          <w:p>
                            <w:pPr>
                              <w:ind w:firstLine="316" w:firstLineChars="99"/>
                              <w:jc w:val="center"/>
                              <w:rPr>
                                <w:rFonts w:hint="eastAsia"/>
                              </w:rPr>
                            </w:pPr>
                            <w:bookmarkStart w:id="1004" w:name="REPE_dispatchnumber"/>
                            <w:r>
                              <w:rPr>
                                <w:rFonts w:hint="eastAsia" w:ascii="仿宋_GB2312"/>
                                <w:lang w:eastAsia="zh-CN"/>
                              </w:rPr>
                              <w:t>宁政办〔2021〕115号</w:t>
                            </w:r>
                            <w:bookmarkEnd w:id="1004"/>
                          </w:p>
                        </w:txbxContent>
                      </wps:txbx>
                      <wps:bodyPr vert="horz" wrap="square" anchor="t" anchorCtr="0" upright="1"/>
                    </wps:wsp>
                  </a:graphicData>
                </a:graphic>
              </wp:anchor>
            </w:drawing>
          </mc:Choice>
          <mc:Fallback>
            <w:pict>
              <v:shape id="DocWord" o:spid="_x0000_s1026" o:spt="202" type="#_x0000_t202" style="position:absolute;left:0pt;margin-left:96.35pt;margin-top:3.3pt;height:32.5pt;width:263.25pt;z-index:251660288;mso-width-relative:page;mso-height-relative:page;" filled="f" stroked="f" coordsize="21600,21600" o:gfxdata="UEsDBAoAAAAAAIdO4kAAAAAAAAAAAAAAAAAEAAAAZHJzL1BLAwQUAAAACACHTuJA1RFQRNQAAAAI&#10;AQAADwAAAGRycy9kb3ducmV2LnhtbE2PQU/DMAyF70j8h8hI3JizCTrWNd0BxBXEBki7ZY3XVjRO&#10;1WRr+fd4J7j5+T09fy42k+/UmYbYBjYwn2lQxFVwLdcGPnYvd4+gYrLsbBeYDPxQhE15fVXY3IWR&#10;3+m8TbWSEo65NdCk1OeIsWrI2zgLPbF4xzB4m0QONbrBjlLuO1xonaG3LcuFxvb01FD1vT15A5+v&#10;x/3XvX6rn/1DP4ZJI/sVGnN7M9drUImm9BeGC76gQylMh3BiF1UnerVYStRAloESfykLUIfLkAGW&#10;Bf5/oPwFUEsDBBQAAAAIAIdO4kDjfgYuugEAAH0DAAAOAAAAZHJzL2Uyb0RvYy54bWytU02P0zAQ&#10;vSPxHyzfafqxfChqutJSLRcESAvi7Dp2Yyn2mBm3Sfn1jJ22C8tlD3txxuPxm/feOOvb0ffiaJAc&#10;hEYuZnMpTNDQurBv5I/v928+SEFJhVb1EEwjT4bk7eb1q/UQa7OEDvrWoGCQQPUQG9mlFOuqIt0Z&#10;r2gG0QQ+tIBeJd7ivmpRDYzu+2o5n7+rBsA2ImhDxNntdCjPiPgcQLDWabMFffAmpAkVTa8SS6LO&#10;RZKbwtZao9NXa8kk0TeSlaaychOOd3mtNmtV71HFzukzBfUcCk80eeUCN71CbVVS4oDuPyjvNAKB&#10;TTMNvpqEFEdYxWL+xJuHTkVTtLDVFK+m08vB6i/Hbyhc28ilFEF5Hjj7+pNHlK0ZItVc8RC5Jo13&#10;MPKDueSJk1nxaNHnL2sRfM7Gnq7GmjEJzcnV6ma1fP9WCs1nNwsOi/PV4+2IlD4Z8CIHjUQeXPFT&#10;HT9TYiZceinJzQLcu74vw+vDPwkuzJkqU58o5iiNu/GsZwftieXwH8B9OsDfUgw8/0bSr4NCI4UK&#10;mtONTJfwY5oezCGi23d8q3hQOvBUCrfzC8pj/3tfeDz+NZ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RFQRNQAAAAIAQAADwAAAAAAAAABACAAAAAiAAAAZHJzL2Rvd25yZXYueG1sUEsBAhQAFAAA&#10;AAgAh07iQON+Bi66AQAAfQMAAA4AAAAAAAAAAQAgAAAAIwEAAGRycy9lMm9Eb2MueG1sUEsFBgAA&#10;AAAGAAYAWQEAAE8FAAAAAA==&#10;">
                <v:fill on="f" focussize="0,0"/>
                <v:stroke on="f"/>
                <v:imagedata o:title=""/>
                <o:lock v:ext="edit" aspectratio="f"/>
                <v:textbox>
                  <w:txbxContent>
                    <w:p>
                      <w:pPr>
                        <w:ind w:firstLine="316" w:firstLineChars="99"/>
                        <w:jc w:val="center"/>
                        <w:rPr>
                          <w:rFonts w:hint="eastAsia"/>
                        </w:rPr>
                      </w:pPr>
                      <w:bookmarkStart w:id="1004" w:name="REPE_dispatchnumber"/>
                      <w:r>
                        <w:rPr>
                          <w:rFonts w:hint="eastAsia" w:ascii="仿宋_GB2312"/>
                          <w:lang w:eastAsia="zh-CN"/>
                        </w:rPr>
                        <w:t>宁政办〔2021〕115号</w:t>
                      </w:r>
                      <w:bookmarkEnd w:id="1004"/>
                    </w:p>
                  </w:txbxContent>
                </v:textbox>
              </v:shape>
            </w:pict>
          </mc:Fallback>
        </mc:AlternateContent>
      </w:r>
    </w:p>
    <w:p>
      <w:pPr>
        <w:spacing w:line="700" w:lineRule="exact"/>
        <w:jc w:val="left"/>
        <w:rPr>
          <w:rFonts w:hint="eastAsia"/>
        </w:rPr>
      </w:pPr>
      <w:r>
        <w:rPr>
          <w:rFonts w:ascii="仿宋_GB2312"/>
          <w:color w:val="FF0000"/>
          <w:sz w:val="20"/>
          <w:lang/>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131445</wp:posOffset>
                </wp:positionV>
                <wp:extent cx="5618480" cy="0"/>
                <wp:effectExtent l="0" t="12700" r="1270" b="15875"/>
                <wp:wrapTopAndBottom/>
                <wp:docPr id="1" name="DocMarkLine"/>
                <wp:cNvGraphicFramePr/>
                <a:graphic xmlns:a="http://schemas.openxmlformats.org/drawingml/2006/main">
                  <a:graphicData uri="http://schemas.microsoft.com/office/word/2010/wordprocessingShape">
                    <wps:wsp>
                      <wps:cNvSpPr/>
                      <wps:spPr>
                        <a:xfrm>
                          <a:off x="0" y="0"/>
                          <a:ext cx="5618480" cy="0"/>
                        </a:xfrm>
                        <a:prstGeom prst="line">
                          <a:avLst/>
                        </a:prstGeom>
                        <a:ln w="25400" cap="flat" cmpd="sng">
                          <a:solidFill>
                            <a:srgbClr val="FF0000"/>
                          </a:solidFill>
                          <a:prstDash val="solid"/>
                          <a:headEnd type="none" w="med" len="med"/>
                          <a:tailEnd type="none" w="med" len="med"/>
                        </a:ln>
                      </wps:spPr>
                      <wps:bodyPr upright="1"/>
                    </wps:wsp>
                  </a:graphicData>
                </a:graphic>
              </wp:anchor>
            </w:drawing>
          </mc:Choice>
          <mc:Fallback>
            <w:pict>
              <v:line id="DocMarkLine" o:spid="_x0000_s1026" o:spt="20" style="position:absolute;left:0pt;margin-left:0pt;margin-top:10.35pt;height:0pt;width:442.4pt;mso-wrap-distance-bottom:0pt;mso-wrap-distance-top:0pt;z-index:251659264;mso-width-relative:page;mso-height-relative:page;" filled="f" stroked="t" coordsize="21600,21600" o:gfxdata="UEsDBAoAAAAAAIdO4kAAAAAAAAAAAAAAAAAEAAAAZHJzL1BLAwQUAAAACACHTuJAXnWcWtQAAAAG&#10;AQAADwAAAGRycy9kb3ducmV2LnhtbE2PvU7EMBCEeyTewVokOs7OCUIU4lwBAgk6Dg5E54s3cYS9&#10;jmLfD2/PIgooZ2c1802zOgYv9jinMZKGYqFAIHXRjjRoeH25v6hApGzIGh8JNXxhglV7etKY2sYD&#10;PeN+nQfBIZRqo8HlPNVSps5hMGkRJyT2+jgHk1nOg7SzOXB48HKpVCmDGYkbnJnw1mH3ud4FDY9v&#10;uLGbj6e7q+ht0b8/lKl3pdbnZ4W6AZHxmP+e4Qef0aFlpm3ckU3Ca+AhWcNSXYNgt6ouecj29yDb&#10;Rv7Hb78BUEsDBBQAAAAIAIdO4kD2O5Nx4AEAAN8DAAAOAAAAZHJzL2Uyb0RvYy54bWytU01v2zAM&#10;vQ/YfxB0X+wEbREYcXpoll26rUDXH8DowxamL4hKnPz7UXaabt0lh/ogUyL1yPdIre6PzrKDSmiC&#10;b/l8VnOmvAjS+K7lL7+2X5acYQYvwQavWn5SyO/Xnz+thtioReiDlSoxAvHYDLHlfc6xqSoUvXKA&#10;sxCVJ6cOyUGmbeoqmWAgdGerRV3fVUNIMqYgFCKdbiYnPyOmawCD1kaoTRB7p3yeUJOykIkS9iYi&#10;X4/Vaq1E/qk1qsxsy4lpHldKQvaurNV6BU2XIPZGnEuAa0p4x8mB8ZT0ArWBDGyfzH9QzogUMOg8&#10;E8FVE5FREWIxr99p89xDVCMXkhrjRXT8OFjx4/CUmJE0CZx5cNRw0vU7pN+PxqsizxCxoajn+JTO&#10;OySzcD3q5MqfWLDjKOnpIqk6Zibo8PZuvrxZktri1Ve9XYwJ8zcVHCtGy23JWADh8IiZklHoa0g5&#10;tp4NLV/c3tQFD2j2NPWcTBepfvTdeBmDNXJrrC1XMHW7B5vYAaj/221NX+FEwP+ElSwbwH6KG13T&#10;ZPQK5FcvWT5FUsbTg+ClBqckZ1bR+ykWAUKTwdhrIim19VRBkXUSsli7IE/Uh31MputJivlYZfFQ&#10;38d6zzNaBuvv/Yj09i7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edZxa1AAAAAYBAAAPAAAA&#10;AAAAAAEAIAAAACIAAABkcnMvZG93bnJldi54bWxQSwECFAAUAAAACACHTuJA9juTceABAADfAwAA&#10;DgAAAAAAAAABACAAAAAjAQAAZHJzL2Uyb0RvYy54bWxQSwUGAAAAAAYABgBZAQAAdQUAAAAA&#10;">
                <v:fill on="f" focussize="0,0"/>
                <v:stroke weight="2pt" color="#FF0000" joinstyle="round"/>
                <v:imagedata o:title=""/>
                <o:lock v:ext="edit" aspectratio="f"/>
                <w10:wrap type="topAndBottom"/>
              </v:line>
            </w:pict>
          </mc:Fallback>
        </mc:AlternateContent>
      </w:r>
    </w:p>
    <w:p>
      <w:pPr>
        <w:snapToGrid w:val="0"/>
        <w:spacing w:line="700" w:lineRule="exact"/>
        <w:rPr>
          <w:rFonts w:hint="eastAsia" w:ascii="仿宋_GB2312" w:hAnsi="宋体"/>
          <w:b/>
          <w:bCs/>
          <w:sz w:val="30"/>
        </w:rPr>
      </w:pPr>
    </w:p>
    <w:p>
      <w:pPr>
        <w:snapToGrid w:val="0"/>
        <w:spacing w:line="700" w:lineRule="atLeast"/>
        <w:jc w:val="center"/>
        <w:rPr>
          <w:rFonts w:hint="eastAsia" w:ascii="方正小标宋简体" w:hAnsi="华文中宋" w:eastAsia="方正小标宋简体"/>
          <w:sz w:val="44"/>
          <w:szCs w:val="44"/>
          <w:lang w:eastAsia="zh-CN"/>
        </w:rPr>
      </w:pPr>
      <w:bookmarkStart w:id="0" w:name="dispatchname"/>
      <w:r>
        <w:rPr>
          <w:rFonts w:hint="eastAsia" w:ascii="方正小标宋简体" w:hAnsi="华文中宋" w:eastAsia="方正小标宋简体"/>
          <w:sz w:val="44"/>
          <w:szCs w:val="44"/>
          <w:lang w:eastAsia="zh-CN"/>
        </w:rPr>
        <w:t>宁德市人民政府办公室关于印发宁德市</w:t>
      </w:r>
    </w:p>
    <w:p>
      <w:pPr>
        <w:snapToGrid w:val="0"/>
        <w:spacing w:line="700" w:lineRule="atLeast"/>
        <w:jc w:val="center"/>
        <w:rPr>
          <w:rFonts w:hint="eastAsia" w:ascii="方正小标宋简体" w:hAnsi="华文中宋" w:eastAsia="方正小标宋简体"/>
          <w:sz w:val="44"/>
          <w:szCs w:val="44"/>
        </w:rPr>
      </w:pPr>
      <w:r>
        <w:rPr>
          <w:rFonts w:hint="eastAsia" w:ascii="方正小标宋简体" w:hAnsi="华文中宋" w:eastAsia="方正小标宋简体"/>
          <w:sz w:val="44"/>
          <w:szCs w:val="44"/>
          <w:lang w:eastAsia="zh-CN"/>
        </w:rPr>
        <w:t>“十四五”特色现代农业发展专项规划的通知</w:t>
      </w:r>
      <w:bookmarkEnd w:id="0"/>
    </w:p>
    <w:p>
      <w:pPr>
        <w:pStyle w:val="8"/>
        <w:snapToGrid w:val="0"/>
        <w:rPr>
          <w:rFonts w:hint="eastAsia"/>
        </w:rPr>
      </w:pPr>
    </w:p>
    <w:p>
      <w:pPr>
        <w:adjustRightInd w:val="0"/>
        <w:snapToGrid w:val="0"/>
        <w:spacing w:line="596" w:lineRule="exact"/>
        <w:ind w:right="0"/>
        <w:rPr>
          <w:rFonts w:hint="eastAsia" w:ascii="仿宋_GB2312"/>
          <w:spacing w:val="-6"/>
        </w:rPr>
      </w:pPr>
      <w:bookmarkStart w:id="1" w:name="maindelivery"/>
      <w:r>
        <w:rPr>
          <w:rFonts w:hint="eastAsia" w:ascii="仿宋_GB2312" w:hAnsi="宋体"/>
          <w:szCs w:val="31"/>
          <w:lang w:eastAsia="zh-CN"/>
        </w:rPr>
        <w:t>各县（市、区）人民政府、东侨经济技术开发区管委会，市政府各部门、各直属机构，各大企业、各高等院校</w:t>
      </w:r>
      <w:bookmarkEnd w:id="1"/>
      <w:r>
        <w:rPr>
          <w:rFonts w:hint="eastAsia" w:ascii="仿宋_GB2312" w:hAnsi="宋体"/>
          <w:szCs w:val="31"/>
        </w:rPr>
        <w:t>：</w:t>
      </w:r>
    </w:p>
    <w:p>
      <w:pPr>
        <w:autoSpaceDN w:val="0"/>
        <w:adjustRightInd w:val="0"/>
        <w:snapToGrid w:val="0"/>
        <w:spacing w:before="0" w:line="596" w:lineRule="exact"/>
        <w:ind w:right="0" w:rightChars="0" w:firstLine="640" w:firstLineChars="200"/>
        <w:textAlignment w:val="auto"/>
        <w:rPr>
          <w:rFonts w:hint="eastAsia" w:ascii="仿宋_GB2312" w:cs="仿宋_GB2312"/>
          <w:color w:val="000000"/>
          <w:lang w:bidi="ar-SA"/>
        </w:rPr>
      </w:pPr>
      <w:bookmarkStart w:id="2" w:name="MainBody"/>
      <w:r>
        <w:rPr>
          <w:rFonts w:hint="eastAsia" w:ascii="仿宋_GB2312" w:cs="仿宋_GB2312"/>
          <w:color w:val="000000"/>
          <w:lang w:bidi="ar-SA"/>
        </w:rPr>
        <w:t>《</w:t>
      </w:r>
      <w:r>
        <w:rPr>
          <w:rFonts w:hint="eastAsia" w:ascii="仿宋_GB2312" w:cs="仿宋_GB2312"/>
          <w:color w:val="000000"/>
          <w:lang w:val="en-US" w:eastAsia="zh-CN" w:bidi="ar-SA"/>
        </w:rPr>
        <w:t>宁德市</w:t>
      </w:r>
      <w:r>
        <w:rPr>
          <w:rFonts w:hint="eastAsia" w:ascii="仿宋_GB2312" w:cs="仿宋_GB2312"/>
          <w:color w:val="000000"/>
          <w:lang w:bidi="ar-SA"/>
        </w:rPr>
        <w:t>“十四五”特色现代农业发展专项规划》已经</w:t>
      </w:r>
      <w:r>
        <w:rPr>
          <w:rFonts w:hint="eastAsia" w:ascii="仿宋_GB2312" w:cs="仿宋_GB2312"/>
          <w:color w:val="000000"/>
          <w:lang w:val="en-US" w:eastAsia="zh-CN" w:bidi="ar-SA"/>
        </w:rPr>
        <w:t>市</w:t>
      </w:r>
      <w:r>
        <w:rPr>
          <w:rFonts w:hint="eastAsia" w:ascii="仿宋_GB2312" w:cs="仿宋_GB2312"/>
          <w:color w:val="000000"/>
          <w:lang w:bidi="ar-SA"/>
        </w:rPr>
        <w:t>政府研究同意，现印发给你们，请认真组织实施。</w:t>
      </w:r>
    </w:p>
    <w:p>
      <w:pPr>
        <w:autoSpaceDN w:val="0"/>
        <w:adjustRightInd w:val="0"/>
        <w:snapToGrid w:val="0"/>
        <w:spacing w:before="0" w:line="596" w:lineRule="exact"/>
        <w:ind w:right="0" w:rightChars="0" w:firstLine="5120" w:firstLineChars="1600"/>
        <w:textAlignment w:val="auto"/>
        <w:rPr>
          <w:rFonts w:hint="eastAsia" w:ascii="仿宋_GB2312" w:cs="仿宋_GB2312"/>
          <w:color w:val="000000"/>
          <w:lang w:bidi="ar-SA"/>
        </w:rPr>
      </w:pPr>
    </w:p>
    <w:p>
      <w:pPr>
        <w:autoSpaceDN w:val="0"/>
        <w:adjustRightInd w:val="0"/>
        <w:snapToGrid w:val="0"/>
        <w:spacing w:before="0" w:line="596" w:lineRule="exact"/>
        <w:ind w:right="0" w:rightChars="0" w:firstLine="4800" w:firstLineChars="1500"/>
        <w:textAlignment w:val="auto"/>
        <w:rPr>
          <w:rFonts w:hint="eastAsia" w:ascii="仿宋_GB2312" w:cs="仿宋_GB2312"/>
          <w:lang w:val="en" w:eastAsia="en" w:bidi="ar-SA"/>
        </w:rPr>
      </w:pPr>
      <w:r>
        <w:rPr>
          <w:rFonts w:hint="eastAsia" w:ascii="仿宋_GB2312" w:cs="仿宋_GB2312"/>
          <w:lang w:val="en-US" w:eastAsia="zh-CN" w:bidi="ar-SA"/>
        </w:rPr>
        <w:t>宁德市</w:t>
      </w:r>
      <w:r>
        <w:rPr>
          <w:rFonts w:hint="eastAsia" w:ascii="仿宋_GB2312" w:cs="仿宋_GB2312"/>
          <w:lang w:bidi="ar-SA"/>
        </w:rPr>
        <w:t>人民政府办公</w:t>
      </w:r>
      <w:r>
        <w:rPr>
          <w:rFonts w:hint="eastAsia" w:ascii="仿宋_GB2312" w:cs="仿宋_GB2312"/>
          <w:lang w:val="en-US" w:eastAsia="zh-CN" w:bidi="ar-SA"/>
        </w:rPr>
        <w:t>室</w:t>
      </w:r>
      <w:r>
        <w:rPr>
          <w:rFonts w:hint="eastAsia" w:ascii="仿宋_GB2312" w:cs="仿宋_GB2312"/>
          <w:lang w:val="en" w:eastAsia="en" w:bidi="ar-SA"/>
        </w:rPr>
        <w:t xml:space="preserve">  </w:t>
      </w:r>
    </w:p>
    <w:p>
      <w:pPr>
        <w:tabs>
          <w:tab w:val="left" w:pos="7750"/>
        </w:tabs>
        <w:adjustRightInd w:val="0"/>
        <w:snapToGrid w:val="0"/>
        <w:spacing w:line="596" w:lineRule="exact"/>
        <w:ind w:right="0" w:rightChars="0"/>
        <w:jc w:val="center"/>
        <w:textAlignment w:val="center"/>
        <w:rPr>
          <w:rFonts w:hint="eastAsia" w:ascii="仿宋_GB2312" w:cs="仿宋_GB2312"/>
          <w:lang w:val="en" w:eastAsia="en" w:bidi="ar-SA"/>
        </w:rPr>
      </w:pPr>
      <w:r>
        <w:rPr>
          <w:rFonts w:ascii="仿宋_GB2312"/>
          <w:spacing w:val="-6"/>
          <w:sz w:val="20"/>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ge">
                  <wp:posOffset>8740775</wp:posOffset>
                </wp:positionV>
                <wp:extent cx="5618480" cy="360045"/>
                <wp:effectExtent l="0" t="0" r="1270" b="1905"/>
                <wp:wrapNone/>
                <wp:docPr id="10" name="KeywordText"/>
                <wp:cNvGraphicFramePr/>
                <a:graphic xmlns:a="http://schemas.openxmlformats.org/drawingml/2006/main">
                  <a:graphicData uri="http://schemas.microsoft.com/office/word/2010/wordprocessingShape">
                    <wps:wsp>
                      <wps:cNvSpPr txBox="1"/>
                      <wps:spPr>
                        <a:xfrm>
                          <a:off x="0" y="0"/>
                          <a:ext cx="5618480" cy="360045"/>
                        </a:xfrm>
                        <a:prstGeom prst="rect">
                          <a:avLst/>
                        </a:prstGeom>
                        <a:solidFill>
                          <a:srgbClr val="FFFFFF"/>
                        </a:solidFill>
                        <a:ln>
                          <a:noFill/>
                        </a:ln>
                      </wps:spPr>
                      <wps:txbx>
                        <w:txbxContent>
                          <w:p>
                            <w:pPr>
                              <w:snapToGrid w:val="0"/>
                              <w:spacing w:line="660" w:lineRule="exact"/>
                              <w:ind w:right="24"/>
                              <w:rPr>
                                <w:rFonts w:hint="eastAsia" w:ascii="仿宋_GB2312"/>
                                <w:spacing w:val="-6"/>
                              </w:rPr>
                            </w:pPr>
                            <w:r>
                              <w:rPr>
                                <w:rFonts w:hint="eastAsia" w:ascii="仿宋_GB2312"/>
                                <w:spacing w:val="-6"/>
                              </w:rPr>
                              <w:t xml:space="preserve">  　（此件</w:t>
                            </w:r>
                            <w:r>
                              <w:rPr>
                                <w:rFonts w:hint="eastAsia" w:ascii="仿宋_GB2312"/>
                                <w:spacing w:val="-6"/>
                                <w:lang w:eastAsia="zh-CN"/>
                              </w:rPr>
                              <w:t>主动公开</w:t>
                            </w:r>
                            <w:r>
                              <w:rPr>
                                <w:rFonts w:hint="eastAsia" w:ascii="仿宋_GB2312"/>
                                <w:spacing w:val="-6"/>
                              </w:rPr>
                              <w:t>）</w:t>
                            </w:r>
                          </w:p>
                          <w:p>
                            <w:pPr>
                              <w:pStyle w:val="8"/>
                              <w:jc w:val="right"/>
                              <w:rPr>
                                <w:rFonts w:hint="eastAsia" w:ascii="宋体" w:eastAsia="宋体"/>
                                <w:b/>
                              </w:rPr>
                            </w:pPr>
                          </w:p>
                        </w:txbxContent>
                      </wps:txbx>
                      <wps:bodyPr wrap="square" lIns="0" tIns="0" rIns="0" bIns="0" upright="1"/>
                    </wps:wsp>
                  </a:graphicData>
                </a:graphic>
              </wp:anchor>
            </w:drawing>
          </mc:Choice>
          <mc:Fallback>
            <w:pict>
              <v:shape id="KeywordText" o:spid="_x0000_s1026" o:spt="202" type="#_x0000_t202" style="position:absolute;left:0pt;margin-left:0pt;margin-top:688.25pt;height:28.35pt;width:442.4pt;mso-position-vertical-relative:page;z-index:251668480;mso-width-relative:page;mso-height-relative:page;" fillcolor="#FFFFFF" filled="t" stroked="f" coordsize="21600,21600" o:gfxdata="UEsDBAoAAAAAAIdO4kAAAAAAAAAAAAAAAAAEAAAAZHJzL1BLAwQUAAAACACHTuJA2+3vKdkAAAAK&#10;AQAADwAAAGRycy9kb3ducmV2LnhtbE2PwU7DMBBE70j8g7VIXBB1mpQQpXEq0cKNHlqqnt14m0TE&#10;6yh2mvbvWU5w3JnR7LxidbWduODgW0cK5rMIBFLlTEu1gsPXx3MGwgdNRneOUMENPazK+7tC58ZN&#10;tMPLPtSCS8jnWkETQp9L6asGrfYz1yOxd3aD1YHPoZZm0BOX207GUZRKq1viD43ucd1g9b0frYJ0&#10;M4zTjtZPm8P7p972dXx8ux2VenyYR0sQAa/hLwy/83k6lLzp5EYyXnQKGCSwmrymLyDYz7IFo5xY&#10;WiRJDLIs5H+E8gdQSwMEFAAAAAgAh07iQBSxlknJAQAAqgMAAA4AAABkcnMvZTJvRG9jLnhtbK1T&#10;TW/bMAy9D9h/EHRf7HRtEBhxCmxBhmHDNqDtD1BkORagr5FK7Pz7UbKdbu2lh/lgUyT1yPdIb+4H&#10;a9hZAWrvar5clJwpJ32j3bHmT4/7D2vOMArXCOOdqvlFIb/fvn+36UOlbnznTaOAEYjDqg8172IM&#10;VVGg7JQVuPBBOQq2HqyIdIRj0YDoCd2a4qYsV0XvoQngpUIk724M8gkR3gLo21ZLtfPyZJWLIyoo&#10;IyJRwk4H5NvcbdsqGX+2LarITM2JacxvKkL2Ib2L7UZURxCh03JqQbylhRecrNCOil6hdiIKdgL9&#10;CspqCR59GxfS22IkkhUhFsvyhTYPnQgqcyGpMVxFx/8HK3+cfwHTDW0CSeKEpYl/U5c0o0c1xKRP&#10;H7CitIdAiXH45AfKnf1IzkR7aMGmLxFiFCeoy1VdgmGSnHer5fp2TSFJsY+rsry9SzDF8+0AGL8o&#10;b1kyag40vSyqOH/HOKbOKakYeqObvTYmH+B4+GyAnQVNep+fCf2fNONSsvPp2oiYPEXiOHJJVhwO&#10;w0T84JsL8e5pQ2qOv08CFGfmq6MREJM4GzAbh9k4BdDHjlhkrXIBGmGmO61b2pG/z7mN519s+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b7e8p2QAAAAoBAAAPAAAAAAAAAAEAIAAAACIAAABkcnMv&#10;ZG93bnJldi54bWxQSwECFAAUAAAACACHTuJAFLGWSckBAACqAwAADgAAAAAAAAABACAAAAAoAQAA&#10;ZHJzL2Uyb0RvYy54bWxQSwUGAAAAAAYABgBZAQAAYwUAAAAA&#10;">
                <v:fill on="t" focussize="0,0"/>
                <v:stroke on="f"/>
                <v:imagedata o:title=""/>
                <o:lock v:ext="edit" aspectratio="f"/>
                <v:textbox inset="0mm,0mm,0mm,0mm">
                  <w:txbxContent>
                    <w:p>
                      <w:pPr>
                        <w:snapToGrid w:val="0"/>
                        <w:spacing w:line="660" w:lineRule="exact"/>
                        <w:ind w:right="24"/>
                        <w:rPr>
                          <w:rFonts w:hint="eastAsia" w:ascii="仿宋_GB2312"/>
                          <w:spacing w:val="-6"/>
                        </w:rPr>
                      </w:pPr>
                      <w:r>
                        <w:rPr>
                          <w:rFonts w:hint="eastAsia" w:ascii="仿宋_GB2312"/>
                          <w:spacing w:val="-6"/>
                        </w:rPr>
                        <w:t xml:space="preserve">  　（此件</w:t>
                      </w:r>
                      <w:r>
                        <w:rPr>
                          <w:rFonts w:hint="eastAsia" w:ascii="仿宋_GB2312"/>
                          <w:spacing w:val="-6"/>
                          <w:lang w:eastAsia="zh-CN"/>
                        </w:rPr>
                        <w:t>主动公开</w:t>
                      </w:r>
                      <w:r>
                        <w:rPr>
                          <w:rFonts w:hint="eastAsia" w:ascii="仿宋_GB2312"/>
                          <w:spacing w:val="-6"/>
                        </w:rPr>
                        <w:t>）</w:t>
                      </w:r>
                    </w:p>
                    <w:p>
                      <w:pPr>
                        <w:pStyle w:val="8"/>
                        <w:jc w:val="right"/>
                        <w:rPr>
                          <w:rFonts w:hint="eastAsia" w:ascii="宋体" w:eastAsia="宋体"/>
                          <w:b/>
                        </w:rPr>
                      </w:pPr>
                    </w:p>
                  </w:txbxContent>
                </v:textbox>
              </v:shape>
            </w:pict>
          </mc:Fallback>
        </mc:AlternateContent>
      </w:r>
      <w:r>
        <w:rPr>
          <w:rFonts w:hint="eastAsia" w:ascii="仿宋_GB2312" w:cs="仿宋_GB2312"/>
          <w:lang w:val="en-US" w:eastAsia="zh-CN" w:bidi="ar-SA"/>
        </w:rPr>
        <w:t xml:space="preserve">                        </w:t>
      </w:r>
      <w:r>
        <w:rPr>
          <w:rFonts w:hint="eastAsia" w:ascii="仿宋_GB2312" w:cs="仿宋_GB2312"/>
          <w:lang w:bidi="ar-SA"/>
        </w:rPr>
        <w:t>2021年</w:t>
      </w:r>
      <w:r>
        <w:rPr>
          <w:rFonts w:hint="eastAsia" w:ascii="仿宋_GB2312" w:cs="仿宋_GB2312"/>
          <w:lang w:val="en-US" w:eastAsia="zh-CN" w:bidi="ar-SA"/>
        </w:rPr>
        <w:t>12</w:t>
      </w:r>
      <w:r>
        <w:rPr>
          <w:rFonts w:hint="eastAsia" w:ascii="仿宋_GB2312" w:cs="仿宋_GB2312"/>
          <w:lang w:bidi="ar-SA"/>
        </w:rPr>
        <w:t>月</w:t>
      </w:r>
      <w:r>
        <w:rPr>
          <w:rFonts w:hint="eastAsia" w:ascii="仿宋_GB2312" w:cs="仿宋_GB2312"/>
          <w:lang w:val="en-US" w:eastAsia="zh-CN" w:bidi="ar-SA"/>
        </w:rPr>
        <w:t>30</w:t>
      </w:r>
      <w:r>
        <w:rPr>
          <w:rFonts w:hint="eastAsia" w:ascii="仿宋_GB2312" w:cs="仿宋_GB2312"/>
          <w:lang w:bidi="ar-SA"/>
        </w:rPr>
        <w:t>日</w:t>
      </w:r>
      <w:r>
        <w:rPr>
          <w:rFonts w:hint="eastAsia" w:ascii="仿宋_GB2312" w:cs="仿宋_GB2312"/>
          <w:lang w:val="en" w:eastAsia="en" w:bidi="ar-SA"/>
        </w:rPr>
        <w:t xml:space="preserve"> </w:t>
      </w:r>
    </w:p>
    <w:bookmarkEnd w:id="2"/>
    <w:p>
      <w:pPr>
        <w:snapToGrid w:val="0"/>
        <w:spacing w:line="560" w:lineRule="exact"/>
        <w:ind w:right="23" w:firstLine="616" w:firstLineChars="200"/>
        <w:rPr>
          <w:rFonts w:hint="eastAsia"/>
          <w:spacing w:val="-6"/>
        </w:rPr>
      </w:pPr>
    </w:p>
    <w:p>
      <w:pPr>
        <w:spacing w:line="560" w:lineRule="exact"/>
        <w:jc w:val="center"/>
        <w:rPr>
          <w:rFonts w:ascii="黑体" w:eastAsia="黑体" w:cs="仿宋"/>
          <w:color w:val="000000"/>
          <w:kern w:val="0"/>
          <w:sz w:val="48"/>
          <w:szCs w:val="48"/>
          <w:shd w:val="clear" w:color="auto" w:fill="FFFFFF"/>
        </w:rPr>
      </w:pPr>
    </w:p>
    <w:p/>
    <w:p>
      <w:pPr>
        <w:spacing w:line="560" w:lineRule="exact"/>
        <w:jc w:val="center"/>
        <w:rPr>
          <w:rFonts w:ascii="黑体" w:eastAsia="黑体" w:cs="仿宋"/>
          <w:color w:val="000000"/>
          <w:kern w:val="0"/>
          <w:sz w:val="48"/>
          <w:szCs w:val="48"/>
          <w:shd w:val="clear" w:color="auto" w:fill="FFFFFF"/>
        </w:rPr>
      </w:pPr>
    </w:p>
    <w:p>
      <w:pPr>
        <w:pStyle w:val="21"/>
        <w:ind w:firstLine="640"/>
      </w:pPr>
    </w:p>
    <w:p>
      <w:pPr>
        <w:spacing w:line="360" w:lineRule="auto"/>
        <w:ind w:firstLine="0" w:firstLineChars="0"/>
        <w:jc w:val="center"/>
        <w:rPr>
          <w:rFonts w:ascii="方正小标宋简体" w:hAnsi="方正小标宋简体" w:eastAsia="方正小标宋简体" w:cs="方正小标宋简体"/>
          <w:color w:val="000000"/>
          <w:kern w:val="0"/>
          <w:sz w:val="48"/>
          <w:szCs w:val="48"/>
          <w:shd w:val="clear" w:color="auto" w:fill="FFFFFF"/>
        </w:rPr>
      </w:pPr>
      <w:r>
        <w:rPr>
          <w:rFonts w:hint="eastAsia" w:ascii="方正小标宋简体" w:hAnsi="方正小标宋简体" w:eastAsia="方正小标宋简体" w:cs="方正小标宋简体"/>
          <w:color w:val="000000"/>
          <w:kern w:val="0"/>
          <w:sz w:val="48"/>
          <w:szCs w:val="48"/>
          <w:shd w:val="clear" w:color="auto" w:fill="FFFFFF"/>
        </w:rPr>
        <w:fldChar w:fldCharType="begin"/>
      </w:r>
      <w:r>
        <w:rPr>
          <w:rFonts w:hint="eastAsia" w:ascii="方正小标宋简体" w:hAnsi="方正小标宋简体" w:eastAsia="方正小标宋简体" w:cs="方正小标宋简体"/>
          <w:color w:val="000000"/>
          <w:kern w:val="0"/>
          <w:sz w:val="48"/>
          <w:szCs w:val="48"/>
          <w:shd w:val="clear" w:color="auto" w:fill="FFFFFF"/>
        </w:rPr>
        <w:instrText xml:space="preserve">ADDIN CNKISM.UserStyle</w:instrText>
      </w:r>
      <w:r>
        <w:rPr>
          <w:rFonts w:hint="eastAsia" w:ascii="方正小标宋简体" w:hAnsi="方正小标宋简体" w:eastAsia="方正小标宋简体" w:cs="方正小标宋简体"/>
          <w:color w:val="000000"/>
          <w:kern w:val="0"/>
          <w:sz w:val="48"/>
          <w:szCs w:val="48"/>
          <w:shd w:val="clear" w:color="auto" w:fill="FFFFFF"/>
        </w:rPr>
        <w:fldChar w:fldCharType="end"/>
      </w:r>
      <w:r>
        <w:rPr>
          <w:rFonts w:hint="eastAsia" w:ascii="方正小标宋简体" w:hAnsi="方正小标宋简体" w:eastAsia="方正小标宋简体" w:cs="方正小标宋简体"/>
          <w:color w:val="000000"/>
          <w:kern w:val="0"/>
          <w:sz w:val="48"/>
          <w:szCs w:val="48"/>
          <w:shd w:val="clear" w:color="auto" w:fill="FFFFFF"/>
        </w:rPr>
        <w:t>宁德市“十四五”特色现代农业发展</w:t>
      </w:r>
    </w:p>
    <w:p>
      <w:pPr>
        <w:spacing w:line="360" w:lineRule="auto"/>
        <w:ind w:firstLine="0" w:firstLineChars="0"/>
        <w:jc w:val="center"/>
        <w:rPr>
          <w:rFonts w:ascii="方正小标宋简体" w:hAnsi="方正小标宋简体" w:eastAsia="方正小标宋简体" w:cs="方正小标宋简体"/>
          <w:color w:val="000000"/>
          <w:kern w:val="0"/>
          <w:sz w:val="48"/>
          <w:szCs w:val="48"/>
          <w:shd w:val="clear" w:color="auto" w:fill="FFFFFF"/>
        </w:rPr>
      </w:pPr>
      <w:r>
        <w:rPr>
          <w:rFonts w:hint="eastAsia" w:ascii="方正小标宋简体" w:hAnsi="方正小标宋简体" w:eastAsia="方正小标宋简体" w:cs="方正小标宋简体"/>
          <w:color w:val="000000"/>
          <w:kern w:val="0"/>
          <w:sz w:val="48"/>
          <w:szCs w:val="48"/>
          <w:shd w:val="clear" w:color="auto" w:fill="FFFFFF"/>
        </w:rPr>
        <w:t>专项规划</w:t>
      </w:r>
    </w:p>
    <w:p>
      <w:pPr>
        <w:ind w:firstLine="0" w:firstLineChars="0"/>
        <w:jc w:val="center"/>
        <w:rPr>
          <w:rFonts w:ascii="楷体_GB2312" w:hAnsi="楷体_GB2312" w:eastAsia="楷体_GB2312" w:cs="楷体_GB2312"/>
          <w:sz w:val="36"/>
          <w:szCs w:val="36"/>
        </w:rPr>
      </w:pPr>
    </w:p>
    <w:p>
      <w:pPr>
        <w:ind w:firstLine="0" w:firstLineChars="0"/>
        <w:jc w:val="center"/>
        <w:rPr>
          <w:rFonts w:hint="eastAsia" w:ascii="楷体_GB2312" w:hAnsi="楷体_GB2312" w:eastAsia="楷体_GB2312" w:cs="楷体_GB2312"/>
          <w:sz w:val="36"/>
          <w:szCs w:val="36"/>
          <w:lang w:eastAsia="zh-CN"/>
        </w:rPr>
      </w:pPr>
      <w:r>
        <w:rPr>
          <w:rFonts w:hint="eastAsia" w:ascii="楷体_GB2312" w:hAnsi="楷体_GB2312" w:eastAsia="楷体_GB2312" w:cs="楷体_GB2312"/>
          <w:sz w:val="36"/>
          <w:szCs w:val="36"/>
          <w:lang w:val="en-US" w:eastAsia="zh-CN"/>
        </w:rPr>
        <w:t xml:space="preserve"> </w:t>
      </w:r>
    </w:p>
    <w:p>
      <w:pPr>
        <w:ind w:firstLine="0" w:firstLineChars="0"/>
        <w:jc w:val="center"/>
        <w:rPr>
          <w:rFonts w:ascii="黑体" w:hAnsi="黑体" w:eastAsia="黑体" w:cs="黑体"/>
          <w:color w:val="000000"/>
          <w:sz w:val="36"/>
          <w:szCs w:val="36"/>
        </w:rPr>
      </w:pPr>
    </w:p>
    <w:p>
      <w:pPr>
        <w:pStyle w:val="7"/>
        <w:ind w:firstLine="640"/>
        <w:rPr>
          <w:color w:val="000000"/>
          <w:shd w:val="clear" w:color="auto" w:fill="FFFFFF"/>
        </w:rPr>
      </w:pPr>
    </w:p>
    <w:p>
      <w:pPr>
        <w:pStyle w:val="7"/>
        <w:ind w:firstLine="640"/>
        <w:rPr>
          <w:color w:val="000000"/>
          <w:shd w:val="clear" w:color="auto" w:fill="FFFFFF"/>
        </w:rPr>
      </w:pPr>
    </w:p>
    <w:p>
      <w:pPr>
        <w:pStyle w:val="7"/>
        <w:ind w:firstLine="640"/>
        <w:rPr>
          <w:color w:val="000000"/>
          <w:shd w:val="clear" w:color="auto" w:fill="FFFFFF"/>
        </w:rPr>
      </w:pPr>
    </w:p>
    <w:p>
      <w:pPr>
        <w:pStyle w:val="7"/>
        <w:ind w:firstLine="640"/>
        <w:rPr>
          <w:color w:val="000000"/>
          <w:shd w:val="clear" w:color="auto" w:fill="FFFFFF"/>
        </w:rPr>
      </w:pPr>
    </w:p>
    <w:p>
      <w:pPr>
        <w:pStyle w:val="7"/>
        <w:ind w:firstLine="640"/>
        <w:rPr>
          <w:color w:val="000000"/>
          <w:shd w:val="clear" w:color="auto" w:fill="FFFFFF"/>
        </w:rPr>
      </w:pPr>
    </w:p>
    <w:p>
      <w:pPr>
        <w:pStyle w:val="7"/>
        <w:ind w:firstLine="640"/>
        <w:rPr>
          <w:color w:val="000000"/>
          <w:shd w:val="clear" w:color="auto" w:fill="FFFFFF"/>
        </w:rPr>
      </w:pPr>
    </w:p>
    <w:p>
      <w:pPr>
        <w:pStyle w:val="7"/>
        <w:ind w:firstLine="640"/>
        <w:rPr>
          <w:color w:val="000000"/>
          <w:shd w:val="clear" w:color="auto" w:fill="FFFFFF"/>
        </w:rPr>
      </w:pPr>
    </w:p>
    <w:p>
      <w:pPr>
        <w:pStyle w:val="7"/>
        <w:ind w:firstLine="640"/>
        <w:rPr>
          <w:color w:val="000000"/>
          <w:shd w:val="clear" w:color="auto" w:fill="FFFFFF"/>
        </w:rPr>
      </w:pPr>
    </w:p>
    <w:p>
      <w:pPr>
        <w:pStyle w:val="7"/>
        <w:ind w:firstLine="640"/>
        <w:rPr>
          <w:color w:val="000000"/>
          <w:shd w:val="clear" w:color="auto" w:fill="FFFFFF"/>
        </w:rPr>
      </w:pPr>
    </w:p>
    <w:p>
      <w:pPr>
        <w:pStyle w:val="7"/>
        <w:ind w:firstLine="640"/>
        <w:rPr>
          <w:color w:val="000000"/>
          <w:shd w:val="clear" w:color="auto" w:fill="FFFFFF"/>
        </w:rPr>
      </w:pPr>
    </w:p>
    <w:p>
      <w:pPr>
        <w:pStyle w:val="7"/>
        <w:ind w:firstLine="0"/>
        <w:jc w:val="center"/>
        <w:rPr>
          <w:rFonts w:hint="eastAsia" w:ascii="楷体_GB2312" w:hAnsi="楷体_GB2312" w:eastAsia="楷体_GB2312" w:cs="楷体_GB2312"/>
          <w:b/>
          <w:bCs/>
          <w:color w:val="000000"/>
          <w:sz w:val="36"/>
          <w:szCs w:val="36"/>
          <w:shd w:val="clear" w:color="auto" w:fill="FFFFFF"/>
          <w:lang w:val="en-US" w:eastAsia="zh-CN"/>
        </w:rPr>
      </w:pPr>
      <w:r>
        <w:rPr>
          <w:rFonts w:hint="eastAsia" w:ascii="楷体_GB2312" w:hAnsi="楷体_GB2312" w:eastAsia="楷体_GB2312" w:cs="楷体_GB2312"/>
          <w:b/>
          <w:bCs/>
          <w:color w:val="000000"/>
          <w:sz w:val="36"/>
          <w:szCs w:val="36"/>
          <w:shd w:val="clear" w:color="auto" w:fill="FFFFFF"/>
          <w:lang w:val="en-US" w:eastAsia="zh-CN"/>
        </w:rPr>
        <w:t>2021年12月</w:t>
      </w:r>
    </w:p>
    <w:p>
      <w:pPr>
        <w:pStyle w:val="20"/>
        <w:widowControl w:val="0"/>
        <w:rPr>
          <w:color w:val="000000"/>
          <w:lang w:val="zh-CN"/>
        </w:rPr>
        <w:sectPr>
          <w:headerReference r:id="rId5" w:type="first"/>
          <w:footerReference r:id="rId8" w:type="first"/>
          <w:headerReference r:id="rId3" w:type="default"/>
          <w:footerReference r:id="rId6" w:type="default"/>
          <w:headerReference r:id="rId4" w:type="even"/>
          <w:footerReference r:id="rId7" w:type="even"/>
          <w:pgSz w:w="11905" w:h="16838"/>
          <w:pgMar w:top="2098" w:right="1417" w:bottom="1587" w:left="1587" w:header="851" w:footer="1361" w:gutter="0"/>
          <w:paperSrc/>
          <w:pgNumType w:fmt="decimal"/>
          <w:cols w:space="720" w:num="1"/>
          <w:rtlGutter w:val="0"/>
          <w:docGrid w:type="lines" w:linePitch="312" w:charSpace="0"/>
        </w:sectPr>
      </w:pPr>
    </w:p>
    <w:p>
      <w:pPr>
        <w:adjustRightInd w:val="0"/>
        <w:snapToGrid w:val="0"/>
        <w:spacing w:line="500" w:lineRule="exact"/>
        <w:ind w:firstLine="0"/>
        <w:rPr>
          <w:rFonts w:ascii="楷体_GB2312" w:hAnsi="楷体_GB2312" w:eastAsia="楷体_GB2312" w:cs="楷体_GB2312"/>
          <w:color w:val="000000"/>
          <w:sz w:val="30"/>
          <w:szCs w:val="30"/>
          <w:shd w:val="clear" w:color="auto" w:fill="FFFFFF"/>
        </w:rPr>
      </w:pPr>
    </w:p>
    <w:p>
      <w:pPr>
        <w:adjustRightInd w:val="0"/>
        <w:snapToGrid w:val="0"/>
        <w:spacing w:line="5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目  录</w:t>
      </w:r>
    </w:p>
    <w:p>
      <w:pPr>
        <w:adjustRightInd w:val="0"/>
        <w:snapToGrid w:val="0"/>
        <w:spacing w:line="500" w:lineRule="exact"/>
        <w:rPr>
          <w:rFonts w:hint="eastAsia" w:ascii="仿宋_GB2312" w:hAnsi="仿宋_GB2312" w:eastAsia="仿宋_GB2312" w:cs="仿宋_GB2312"/>
        </w:rPr>
      </w:pP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黑体" w:hAnsi="黑体" w:eastAsia="黑体" w:cs="黑体"/>
        </w:rPr>
        <w:t>前  言</w:t>
      </w:r>
      <w:r>
        <w:rPr>
          <w:rFonts w:hint="eastAsia" w:ascii="仿宋_GB2312" w:hAnsi="仿宋_GB2312" w:eastAsia="仿宋_GB2312" w:cs="仿宋_GB2312"/>
        </w:rPr>
        <w:tab/>
      </w:r>
      <w:r>
        <w:rPr>
          <w:rFonts w:hint="eastAsia" w:ascii="仿宋_GB2312" w:hAnsi="仿宋_GB2312" w:eastAsia="仿宋_GB2312" w:cs="仿宋_GB2312"/>
        </w:rPr>
        <w:t>6</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黑体" w:hAnsi="黑体" w:eastAsia="黑体" w:cs="黑体"/>
        </w:rPr>
        <w:t>第一章　基础条件和发展环境</w:t>
      </w:r>
      <w:r>
        <w:rPr>
          <w:rFonts w:hint="eastAsia" w:ascii="仿宋_GB2312" w:hAnsi="仿宋_GB2312" w:eastAsia="仿宋_GB2312" w:cs="仿宋_GB2312"/>
        </w:rPr>
        <w:tab/>
      </w:r>
      <w:r>
        <w:rPr>
          <w:rFonts w:hint="eastAsia" w:ascii="仿宋_GB2312" w:hAnsi="仿宋_GB2312" w:eastAsia="仿宋_GB2312" w:cs="仿宋_GB2312"/>
        </w:rPr>
        <w:t>8</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第一节　基础条件</w:t>
      </w:r>
      <w:r>
        <w:rPr>
          <w:rFonts w:hint="eastAsia" w:ascii="仿宋_GB2312" w:hAnsi="仿宋_GB2312" w:eastAsia="仿宋_GB2312" w:cs="仿宋_GB2312"/>
        </w:rPr>
        <w:tab/>
      </w:r>
      <w:r>
        <w:rPr>
          <w:rFonts w:hint="eastAsia" w:ascii="仿宋_GB2312" w:hAnsi="仿宋_GB2312" w:eastAsia="仿宋_GB2312" w:cs="仿宋_GB2312"/>
        </w:rPr>
        <w:t>8</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第二节　发展机遇</w:t>
      </w:r>
      <w:r>
        <w:rPr>
          <w:rFonts w:hint="eastAsia" w:ascii="仿宋_GB2312" w:hAnsi="仿宋_GB2312" w:eastAsia="仿宋_GB2312" w:cs="仿宋_GB2312"/>
        </w:rPr>
        <w:tab/>
      </w:r>
      <w:r>
        <w:rPr>
          <w:rFonts w:hint="eastAsia" w:ascii="仿宋_GB2312" w:hAnsi="仿宋_GB2312" w:eastAsia="仿宋_GB2312" w:cs="仿宋_GB2312"/>
        </w:rPr>
        <w:t>11</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第三节　发展短板</w:t>
      </w:r>
      <w:r>
        <w:rPr>
          <w:rFonts w:hint="eastAsia" w:ascii="仿宋_GB2312" w:hAnsi="仿宋_GB2312" w:eastAsia="仿宋_GB2312" w:cs="仿宋_GB2312"/>
        </w:rPr>
        <w:tab/>
      </w:r>
      <w:r>
        <w:rPr>
          <w:rFonts w:hint="eastAsia" w:ascii="仿宋_GB2312" w:hAnsi="仿宋_GB2312" w:eastAsia="仿宋_GB2312" w:cs="仿宋_GB2312"/>
        </w:rPr>
        <w:t>13</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第四节</w:t>
      </w:r>
      <w:r>
        <w:rPr>
          <w:rFonts w:hint="eastAsia" w:ascii="仿宋_GB2312" w:hAnsi="仿宋_GB2312" w:cs="仿宋_GB2312"/>
          <w:lang w:eastAsia="zh-CN"/>
        </w:rPr>
        <w:t>　</w:t>
      </w:r>
      <w:r>
        <w:rPr>
          <w:rFonts w:hint="eastAsia" w:ascii="仿宋_GB2312" w:hAnsi="仿宋_GB2312" w:eastAsia="仿宋_GB2312" w:cs="仿宋_GB2312"/>
        </w:rPr>
        <w:t>发展环境总结</w:t>
      </w:r>
      <w:r>
        <w:rPr>
          <w:rFonts w:hint="eastAsia" w:ascii="仿宋_GB2312" w:hAnsi="仿宋_GB2312" w:eastAsia="仿宋_GB2312" w:cs="仿宋_GB2312"/>
        </w:rPr>
        <w:tab/>
      </w:r>
      <w:r>
        <w:rPr>
          <w:rFonts w:hint="eastAsia" w:ascii="仿宋_GB2312" w:hAnsi="仿宋_GB2312" w:eastAsia="仿宋_GB2312" w:cs="仿宋_GB2312"/>
        </w:rPr>
        <w:t>16</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黑体" w:hAnsi="黑体" w:eastAsia="黑体" w:cs="黑体"/>
        </w:rPr>
        <w:t>第二章　指导思想与发展目标</w:t>
      </w:r>
      <w:r>
        <w:rPr>
          <w:rFonts w:hint="eastAsia" w:ascii="仿宋_GB2312" w:hAnsi="仿宋_GB2312" w:eastAsia="仿宋_GB2312" w:cs="仿宋_GB2312"/>
        </w:rPr>
        <w:tab/>
      </w:r>
      <w:r>
        <w:rPr>
          <w:rFonts w:hint="eastAsia" w:ascii="仿宋_GB2312" w:hAnsi="仿宋_GB2312" w:eastAsia="仿宋_GB2312" w:cs="仿宋_GB2312"/>
        </w:rPr>
        <w:t>17</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第一节　指导思想</w:t>
      </w:r>
      <w:r>
        <w:rPr>
          <w:rFonts w:hint="eastAsia" w:ascii="仿宋_GB2312" w:hAnsi="仿宋_GB2312" w:eastAsia="仿宋_GB2312" w:cs="仿宋_GB2312"/>
        </w:rPr>
        <w:tab/>
      </w:r>
      <w:r>
        <w:rPr>
          <w:rFonts w:hint="eastAsia" w:ascii="仿宋_GB2312" w:hAnsi="仿宋_GB2312" w:eastAsia="仿宋_GB2312" w:cs="仿宋_GB2312"/>
        </w:rPr>
        <w:t>17</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第二节　基本原则</w:t>
      </w:r>
      <w:r>
        <w:rPr>
          <w:rFonts w:hint="eastAsia" w:ascii="仿宋_GB2312" w:hAnsi="仿宋_GB2312" w:eastAsia="仿宋_GB2312" w:cs="仿宋_GB2312"/>
        </w:rPr>
        <w:tab/>
      </w:r>
      <w:r>
        <w:rPr>
          <w:rFonts w:hint="eastAsia" w:ascii="仿宋_GB2312" w:hAnsi="仿宋_GB2312" w:eastAsia="仿宋_GB2312" w:cs="仿宋_GB2312"/>
        </w:rPr>
        <w:t>18</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第三节　发展目标</w:t>
      </w:r>
      <w:r>
        <w:rPr>
          <w:rFonts w:hint="eastAsia" w:ascii="仿宋_GB2312" w:hAnsi="仿宋_GB2312" w:eastAsia="仿宋_GB2312" w:cs="仿宋_GB2312"/>
        </w:rPr>
        <w:tab/>
      </w:r>
      <w:r>
        <w:rPr>
          <w:rFonts w:hint="eastAsia" w:ascii="仿宋_GB2312" w:hAnsi="仿宋_GB2312" w:eastAsia="仿宋_GB2312" w:cs="仿宋_GB2312"/>
        </w:rPr>
        <w:t>19</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黑体" w:hAnsi="黑体" w:eastAsia="黑体" w:cs="黑体"/>
        </w:rPr>
        <w:t>第三章</w:t>
      </w:r>
      <w:r>
        <w:rPr>
          <w:rFonts w:hint="eastAsia" w:ascii="黑体" w:hAnsi="黑体" w:eastAsia="黑体" w:cs="黑体"/>
          <w:lang w:eastAsia="zh-CN"/>
        </w:rPr>
        <w:t>　</w:t>
      </w:r>
      <w:r>
        <w:rPr>
          <w:rFonts w:hint="eastAsia" w:ascii="黑体" w:hAnsi="黑体" w:eastAsia="黑体" w:cs="黑体"/>
        </w:rPr>
        <w:t>优化特色现代农业产业布局</w:t>
      </w:r>
      <w:r>
        <w:rPr>
          <w:rFonts w:hint="eastAsia" w:ascii="仿宋_GB2312" w:hAnsi="仿宋_GB2312" w:eastAsia="仿宋_GB2312" w:cs="仿宋_GB2312"/>
        </w:rPr>
        <w:tab/>
      </w:r>
      <w:r>
        <w:rPr>
          <w:rFonts w:hint="eastAsia" w:ascii="仿宋_GB2312" w:hAnsi="仿宋_GB2312" w:eastAsia="仿宋_GB2312" w:cs="仿宋_GB2312"/>
        </w:rPr>
        <w:t>23</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第一节</w:t>
      </w:r>
      <w:r>
        <w:rPr>
          <w:rFonts w:hint="eastAsia" w:ascii="仿宋_GB2312" w:hAnsi="仿宋_GB2312" w:cs="仿宋_GB2312"/>
          <w:lang w:eastAsia="zh-CN"/>
        </w:rPr>
        <w:t>　</w:t>
      </w:r>
      <w:r>
        <w:rPr>
          <w:rFonts w:hint="eastAsia" w:ascii="仿宋_GB2312" w:hAnsi="仿宋_GB2312" w:eastAsia="仿宋_GB2312" w:cs="仿宋_GB2312"/>
        </w:rPr>
        <w:t>闽东特色现代农业集聚区</w:t>
      </w:r>
      <w:r>
        <w:rPr>
          <w:rFonts w:hint="eastAsia" w:ascii="仿宋_GB2312" w:hAnsi="仿宋_GB2312" w:eastAsia="仿宋_GB2312" w:cs="仿宋_GB2312"/>
        </w:rPr>
        <w:tab/>
      </w:r>
      <w:r>
        <w:rPr>
          <w:rFonts w:hint="eastAsia" w:ascii="仿宋_GB2312" w:hAnsi="仿宋_GB2312" w:eastAsia="仿宋_GB2312" w:cs="仿宋_GB2312"/>
        </w:rPr>
        <w:t>23</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第二节</w:t>
      </w:r>
      <w:r>
        <w:rPr>
          <w:rFonts w:hint="eastAsia" w:ascii="仿宋_GB2312" w:hAnsi="仿宋_GB2312" w:cs="仿宋_GB2312"/>
          <w:lang w:eastAsia="zh-CN"/>
        </w:rPr>
        <w:t>　</w:t>
      </w:r>
      <w:r>
        <w:rPr>
          <w:rFonts w:hint="eastAsia" w:ascii="仿宋_GB2312" w:hAnsi="仿宋_GB2312" w:eastAsia="仿宋_GB2312" w:cs="仿宋_GB2312"/>
        </w:rPr>
        <w:t>闽东山地农业绿色发展先行区</w:t>
      </w:r>
      <w:r>
        <w:rPr>
          <w:rFonts w:hint="eastAsia" w:ascii="仿宋_GB2312" w:hAnsi="仿宋_GB2312" w:eastAsia="仿宋_GB2312" w:cs="仿宋_GB2312"/>
        </w:rPr>
        <w:tab/>
      </w:r>
      <w:r>
        <w:rPr>
          <w:rFonts w:hint="eastAsia" w:ascii="仿宋_GB2312" w:hAnsi="仿宋_GB2312" w:eastAsia="仿宋_GB2312" w:cs="仿宋_GB2312"/>
        </w:rPr>
        <w:t>26</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第三节</w:t>
      </w:r>
      <w:r>
        <w:rPr>
          <w:rFonts w:hint="eastAsia" w:ascii="仿宋_GB2312" w:hAnsi="仿宋_GB2312" w:cs="仿宋_GB2312"/>
          <w:lang w:eastAsia="zh-CN"/>
        </w:rPr>
        <w:t>　</w:t>
      </w:r>
      <w:r>
        <w:rPr>
          <w:rFonts w:hint="eastAsia" w:ascii="仿宋_GB2312" w:hAnsi="仿宋_GB2312" w:eastAsia="仿宋_GB2312" w:cs="仿宋_GB2312"/>
        </w:rPr>
        <w:t>山海农业融合发展示范区</w:t>
      </w:r>
      <w:r>
        <w:rPr>
          <w:rFonts w:hint="eastAsia" w:ascii="仿宋_GB2312" w:hAnsi="仿宋_GB2312" w:eastAsia="仿宋_GB2312" w:cs="仿宋_GB2312"/>
        </w:rPr>
        <w:tab/>
      </w:r>
      <w:r>
        <w:rPr>
          <w:rFonts w:hint="eastAsia" w:ascii="仿宋_GB2312" w:hAnsi="仿宋_GB2312" w:eastAsia="仿宋_GB2312" w:cs="仿宋_GB2312"/>
        </w:rPr>
        <w:t>26</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第四节</w:t>
      </w:r>
      <w:r>
        <w:rPr>
          <w:rFonts w:hint="eastAsia" w:ascii="仿宋_GB2312" w:hAnsi="仿宋_GB2312" w:cs="仿宋_GB2312"/>
          <w:lang w:eastAsia="zh-CN"/>
        </w:rPr>
        <w:t>　</w:t>
      </w:r>
      <w:r>
        <w:rPr>
          <w:rFonts w:hint="eastAsia" w:ascii="仿宋_GB2312" w:hAnsi="仿宋_GB2312" w:eastAsia="仿宋_GB2312" w:cs="仿宋_GB2312"/>
        </w:rPr>
        <w:t>数字农业创新应用基地</w:t>
      </w:r>
      <w:r>
        <w:rPr>
          <w:rFonts w:hint="eastAsia" w:ascii="仿宋_GB2312" w:hAnsi="仿宋_GB2312" w:eastAsia="仿宋_GB2312" w:cs="仿宋_GB2312"/>
        </w:rPr>
        <w:tab/>
      </w:r>
      <w:r>
        <w:rPr>
          <w:rFonts w:hint="eastAsia" w:ascii="仿宋_GB2312" w:hAnsi="仿宋_GB2312" w:eastAsia="仿宋_GB2312" w:cs="仿宋_GB2312"/>
        </w:rPr>
        <w:t>27</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黑体" w:hAnsi="黑体" w:eastAsia="黑体" w:cs="黑体"/>
        </w:rPr>
        <w:t>第四章</w:t>
      </w:r>
      <w:r>
        <w:rPr>
          <w:rFonts w:hint="eastAsia" w:ascii="黑体" w:hAnsi="黑体" w:eastAsia="黑体" w:cs="黑体"/>
          <w:lang w:eastAsia="zh-CN"/>
        </w:rPr>
        <w:t>　</w:t>
      </w:r>
      <w:r>
        <w:rPr>
          <w:rFonts w:hint="eastAsia" w:ascii="黑体" w:hAnsi="黑体" w:eastAsia="黑体" w:cs="黑体"/>
        </w:rPr>
        <w:t>确保粮食安全</w:t>
      </w:r>
      <w:r>
        <w:rPr>
          <w:rFonts w:hint="eastAsia" w:ascii="仿宋_GB2312" w:hAnsi="仿宋_GB2312" w:eastAsia="仿宋_GB2312" w:cs="仿宋_GB2312"/>
        </w:rPr>
        <w:tab/>
      </w:r>
      <w:r>
        <w:rPr>
          <w:rFonts w:hint="eastAsia" w:ascii="仿宋_GB2312" w:hAnsi="仿宋_GB2312" w:eastAsia="仿宋_GB2312" w:cs="仿宋_GB2312"/>
        </w:rPr>
        <w:t>29</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第一节</w:t>
      </w:r>
      <w:r>
        <w:rPr>
          <w:rFonts w:hint="eastAsia" w:ascii="仿宋_GB2312" w:hAnsi="仿宋_GB2312" w:cs="仿宋_GB2312"/>
          <w:lang w:eastAsia="zh-CN"/>
        </w:rPr>
        <w:t>　</w:t>
      </w:r>
      <w:r>
        <w:rPr>
          <w:rFonts w:hint="eastAsia" w:ascii="仿宋_GB2312" w:hAnsi="仿宋_GB2312" w:eastAsia="仿宋_GB2312" w:cs="仿宋_GB2312"/>
        </w:rPr>
        <w:t>巩固提升粮食综合生产能力</w:t>
      </w:r>
      <w:r>
        <w:rPr>
          <w:rFonts w:hint="eastAsia" w:ascii="仿宋_GB2312" w:hAnsi="仿宋_GB2312" w:eastAsia="仿宋_GB2312" w:cs="仿宋_GB2312"/>
        </w:rPr>
        <w:tab/>
      </w:r>
      <w:r>
        <w:rPr>
          <w:rFonts w:hint="eastAsia" w:ascii="仿宋_GB2312" w:hAnsi="仿宋_GB2312" w:eastAsia="仿宋_GB2312" w:cs="仿宋_GB2312"/>
        </w:rPr>
        <w:t>29</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第二节</w:t>
      </w:r>
      <w:r>
        <w:rPr>
          <w:rFonts w:hint="eastAsia" w:ascii="仿宋_GB2312" w:hAnsi="仿宋_GB2312" w:cs="仿宋_GB2312"/>
          <w:lang w:eastAsia="zh-CN"/>
        </w:rPr>
        <w:t>　</w:t>
      </w:r>
      <w:r>
        <w:rPr>
          <w:rFonts w:hint="eastAsia" w:ascii="仿宋_GB2312" w:hAnsi="仿宋_GB2312" w:eastAsia="仿宋_GB2312" w:cs="仿宋_GB2312"/>
        </w:rPr>
        <w:t>推进高标准农田建设</w:t>
      </w:r>
      <w:r>
        <w:rPr>
          <w:rFonts w:hint="eastAsia" w:ascii="仿宋_GB2312" w:hAnsi="仿宋_GB2312" w:eastAsia="仿宋_GB2312" w:cs="仿宋_GB2312"/>
        </w:rPr>
        <w:tab/>
      </w:r>
      <w:r>
        <w:rPr>
          <w:rFonts w:hint="eastAsia" w:ascii="仿宋_GB2312" w:hAnsi="仿宋_GB2312" w:eastAsia="仿宋_GB2312" w:cs="仿宋_GB2312"/>
        </w:rPr>
        <w:t>31</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第三节</w:t>
      </w:r>
      <w:r>
        <w:rPr>
          <w:rFonts w:hint="eastAsia" w:ascii="仿宋_GB2312" w:hAnsi="仿宋_GB2312" w:cs="仿宋_GB2312"/>
          <w:lang w:eastAsia="zh-CN"/>
        </w:rPr>
        <w:t>　</w:t>
      </w:r>
      <w:r>
        <w:rPr>
          <w:rFonts w:hint="eastAsia" w:ascii="仿宋_GB2312" w:hAnsi="仿宋_GB2312" w:eastAsia="仿宋_GB2312" w:cs="仿宋_GB2312"/>
        </w:rPr>
        <w:t>加强农业设施设备应用</w:t>
      </w:r>
      <w:r>
        <w:rPr>
          <w:rFonts w:hint="eastAsia" w:ascii="仿宋_GB2312" w:hAnsi="仿宋_GB2312" w:eastAsia="仿宋_GB2312" w:cs="仿宋_GB2312"/>
        </w:rPr>
        <w:tab/>
      </w:r>
      <w:r>
        <w:rPr>
          <w:rFonts w:hint="eastAsia" w:ascii="仿宋_GB2312" w:hAnsi="仿宋_GB2312" w:eastAsia="仿宋_GB2312" w:cs="仿宋_GB2312"/>
        </w:rPr>
        <w:t>32</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黑体" w:hAnsi="黑体" w:eastAsia="黑体" w:cs="黑体"/>
        </w:rPr>
        <w:t>第五章</w:t>
      </w:r>
      <w:r>
        <w:rPr>
          <w:rFonts w:hint="eastAsia" w:ascii="黑体" w:hAnsi="黑体" w:eastAsia="黑体" w:cs="黑体"/>
          <w:lang w:eastAsia="zh-CN"/>
        </w:rPr>
        <w:t>　</w:t>
      </w:r>
      <w:r>
        <w:rPr>
          <w:rFonts w:hint="eastAsia" w:ascii="黑体" w:hAnsi="黑体" w:eastAsia="黑体" w:cs="黑体"/>
        </w:rPr>
        <w:t>完善特色现代农业产业体系</w:t>
      </w:r>
      <w:r>
        <w:rPr>
          <w:rFonts w:hint="eastAsia" w:ascii="仿宋_GB2312" w:hAnsi="仿宋_GB2312" w:eastAsia="仿宋_GB2312" w:cs="仿宋_GB2312"/>
        </w:rPr>
        <w:tab/>
      </w:r>
      <w:r>
        <w:rPr>
          <w:rFonts w:hint="eastAsia" w:ascii="仿宋_GB2312" w:hAnsi="仿宋_GB2312" w:eastAsia="仿宋_GB2312" w:cs="仿宋_GB2312"/>
        </w:rPr>
        <w:t>33</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第一节 做优做强特色优势产业</w:t>
      </w:r>
      <w:r>
        <w:rPr>
          <w:rFonts w:hint="eastAsia" w:ascii="仿宋_GB2312" w:hAnsi="仿宋_GB2312" w:eastAsia="仿宋_GB2312" w:cs="仿宋_GB2312"/>
        </w:rPr>
        <w:tab/>
      </w:r>
      <w:r>
        <w:rPr>
          <w:rFonts w:hint="eastAsia" w:ascii="仿宋_GB2312" w:hAnsi="仿宋_GB2312" w:eastAsia="仿宋_GB2312" w:cs="仿宋_GB2312"/>
        </w:rPr>
        <w:t>33</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第二节 做美做精乡村休闲旅游业</w:t>
      </w:r>
      <w:r>
        <w:rPr>
          <w:rFonts w:hint="eastAsia" w:ascii="仿宋_GB2312" w:hAnsi="仿宋_GB2312" w:eastAsia="仿宋_GB2312" w:cs="仿宋_GB2312"/>
        </w:rPr>
        <w:tab/>
      </w:r>
      <w:r>
        <w:rPr>
          <w:rFonts w:hint="eastAsia" w:ascii="仿宋_GB2312" w:hAnsi="仿宋_GB2312" w:eastAsia="仿宋_GB2312" w:cs="仿宋_GB2312"/>
        </w:rPr>
        <w:t>69</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黑体" w:hAnsi="黑体" w:eastAsia="黑体" w:cs="黑体"/>
        </w:rPr>
        <w:t>第六章  构建特色现代农业生产体系</w:t>
      </w:r>
      <w:r>
        <w:rPr>
          <w:rFonts w:hint="eastAsia" w:ascii="仿宋_GB2312" w:hAnsi="仿宋_GB2312" w:eastAsia="仿宋_GB2312" w:cs="仿宋_GB2312"/>
        </w:rPr>
        <w:tab/>
      </w:r>
      <w:r>
        <w:rPr>
          <w:rFonts w:hint="eastAsia" w:ascii="仿宋_GB2312" w:hAnsi="仿宋_GB2312" w:eastAsia="仿宋_GB2312" w:cs="仿宋_GB2312"/>
        </w:rPr>
        <w:t>75</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第一节 推进农业良种化</w:t>
      </w:r>
      <w:r>
        <w:rPr>
          <w:rFonts w:hint="eastAsia" w:ascii="仿宋_GB2312" w:hAnsi="仿宋_GB2312" w:eastAsia="仿宋_GB2312" w:cs="仿宋_GB2312"/>
        </w:rPr>
        <w:tab/>
      </w:r>
      <w:r>
        <w:rPr>
          <w:rFonts w:hint="eastAsia" w:ascii="仿宋_GB2312" w:hAnsi="仿宋_GB2312" w:eastAsia="仿宋_GB2312" w:cs="仿宋_GB2312"/>
        </w:rPr>
        <w:t>75</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第二节 打造特色产业规模化</w:t>
      </w:r>
      <w:r>
        <w:rPr>
          <w:rFonts w:hint="eastAsia" w:ascii="仿宋_GB2312" w:hAnsi="仿宋_GB2312" w:eastAsia="仿宋_GB2312" w:cs="仿宋_GB2312"/>
        </w:rPr>
        <w:tab/>
      </w:r>
      <w:r>
        <w:rPr>
          <w:rFonts w:hint="eastAsia" w:ascii="仿宋_GB2312" w:hAnsi="仿宋_GB2312" w:eastAsia="仿宋_GB2312" w:cs="仿宋_GB2312"/>
        </w:rPr>
        <w:t>77</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第三节 推进产品品牌化</w:t>
      </w:r>
      <w:r>
        <w:rPr>
          <w:rFonts w:hint="eastAsia" w:ascii="仿宋_GB2312" w:hAnsi="仿宋_GB2312" w:eastAsia="仿宋_GB2312" w:cs="仿宋_GB2312"/>
        </w:rPr>
        <w:tab/>
      </w:r>
      <w:r>
        <w:rPr>
          <w:rFonts w:hint="eastAsia" w:ascii="仿宋_GB2312" w:hAnsi="仿宋_GB2312" w:eastAsia="仿宋_GB2312" w:cs="仿宋_GB2312"/>
        </w:rPr>
        <w:t>77</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第四节 发展农业数字化</w:t>
      </w:r>
      <w:r>
        <w:rPr>
          <w:rFonts w:hint="eastAsia" w:ascii="仿宋_GB2312" w:hAnsi="仿宋_GB2312" w:eastAsia="仿宋_GB2312" w:cs="仿宋_GB2312"/>
        </w:rPr>
        <w:tab/>
      </w:r>
      <w:r>
        <w:rPr>
          <w:rFonts w:hint="eastAsia" w:ascii="仿宋_GB2312" w:hAnsi="仿宋_GB2312" w:eastAsia="仿宋_GB2312" w:cs="仿宋_GB2312"/>
        </w:rPr>
        <w:t>78</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黑体" w:hAnsi="黑体" w:eastAsia="黑体" w:cs="黑体"/>
        </w:rPr>
        <w:t>第七章 构建特色现代农业经营体系</w:t>
      </w:r>
      <w:r>
        <w:rPr>
          <w:rFonts w:hint="eastAsia" w:ascii="仿宋_GB2312" w:hAnsi="仿宋_GB2312" w:eastAsia="仿宋_GB2312" w:cs="仿宋_GB2312"/>
        </w:rPr>
        <w:tab/>
      </w:r>
      <w:r>
        <w:rPr>
          <w:rFonts w:hint="eastAsia" w:ascii="仿宋_GB2312" w:hAnsi="仿宋_GB2312" w:eastAsia="仿宋_GB2312" w:cs="仿宋_GB2312"/>
        </w:rPr>
        <w:t>80</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第一节 加快培育发展家庭农场</w:t>
      </w:r>
      <w:r>
        <w:rPr>
          <w:rFonts w:hint="eastAsia" w:ascii="仿宋_GB2312" w:hAnsi="仿宋_GB2312" w:eastAsia="仿宋_GB2312" w:cs="仿宋_GB2312"/>
        </w:rPr>
        <w:tab/>
      </w:r>
      <w:r>
        <w:rPr>
          <w:rFonts w:hint="eastAsia" w:ascii="仿宋_GB2312" w:hAnsi="仿宋_GB2312" w:eastAsia="仿宋_GB2312" w:cs="仿宋_GB2312"/>
        </w:rPr>
        <w:t>80</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第二节 促进农民合作社规范提升</w:t>
      </w:r>
      <w:r>
        <w:rPr>
          <w:rFonts w:hint="eastAsia" w:ascii="仿宋_GB2312" w:hAnsi="仿宋_GB2312" w:eastAsia="仿宋_GB2312" w:cs="仿宋_GB2312"/>
        </w:rPr>
        <w:tab/>
      </w:r>
      <w:r>
        <w:rPr>
          <w:rFonts w:hint="eastAsia" w:ascii="仿宋_GB2312" w:hAnsi="仿宋_GB2312" w:eastAsia="仿宋_GB2312" w:cs="仿宋_GB2312"/>
        </w:rPr>
        <w:t>80</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第三节 发展壮大农业龙头企业</w:t>
      </w:r>
      <w:r>
        <w:rPr>
          <w:rFonts w:hint="eastAsia" w:ascii="仿宋_GB2312" w:hAnsi="仿宋_GB2312" w:eastAsia="仿宋_GB2312" w:cs="仿宋_GB2312"/>
        </w:rPr>
        <w:tab/>
      </w:r>
      <w:r>
        <w:rPr>
          <w:rFonts w:hint="eastAsia" w:ascii="仿宋_GB2312" w:hAnsi="仿宋_GB2312" w:eastAsia="仿宋_GB2312" w:cs="仿宋_GB2312"/>
        </w:rPr>
        <w:t>81</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第四节 推进小农户与特色现代农业有机衔接</w:t>
      </w:r>
      <w:r>
        <w:rPr>
          <w:rFonts w:hint="eastAsia" w:ascii="仿宋_GB2312" w:hAnsi="仿宋_GB2312" w:eastAsia="仿宋_GB2312" w:cs="仿宋_GB2312"/>
        </w:rPr>
        <w:tab/>
      </w:r>
      <w:r>
        <w:rPr>
          <w:rFonts w:hint="eastAsia" w:ascii="仿宋_GB2312" w:hAnsi="仿宋_GB2312" w:eastAsia="仿宋_GB2312" w:cs="仿宋_GB2312"/>
        </w:rPr>
        <w:t>81</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第五节 加强高素质农民培养</w:t>
      </w:r>
      <w:r>
        <w:rPr>
          <w:rFonts w:hint="eastAsia" w:ascii="仿宋_GB2312" w:hAnsi="仿宋_GB2312" w:eastAsia="仿宋_GB2312" w:cs="仿宋_GB2312"/>
        </w:rPr>
        <w:tab/>
      </w:r>
      <w:r>
        <w:rPr>
          <w:rFonts w:hint="eastAsia" w:ascii="仿宋_GB2312" w:hAnsi="仿宋_GB2312" w:eastAsia="仿宋_GB2312" w:cs="仿宋_GB2312"/>
        </w:rPr>
        <w:t>82</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黑体" w:hAnsi="黑体" w:eastAsia="黑体" w:cs="黑体"/>
        </w:rPr>
        <w:t>第八章  推进“三产三新三链”融合发展</w:t>
      </w:r>
      <w:r>
        <w:rPr>
          <w:rFonts w:hint="eastAsia" w:ascii="仿宋_GB2312" w:hAnsi="仿宋_GB2312" w:eastAsia="仿宋_GB2312" w:cs="仿宋_GB2312"/>
        </w:rPr>
        <w:tab/>
      </w:r>
      <w:r>
        <w:rPr>
          <w:rFonts w:hint="eastAsia" w:ascii="仿宋_GB2312" w:hAnsi="仿宋_GB2312" w:eastAsia="仿宋_GB2312" w:cs="仿宋_GB2312"/>
        </w:rPr>
        <w:t>84</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第一节 提升农产品加工水平</w:t>
      </w:r>
      <w:r>
        <w:rPr>
          <w:rFonts w:hint="eastAsia" w:ascii="仿宋_GB2312" w:hAnsi="仿宋_GB2312" w:eastAsia="仿宋_GB2312" w:cs="仿宋_GB2312"/>
        </w:rPr>
        <w:tab/>
      </w:r>
      <w:r>
        <w:rPr>
          <w:rFonts w:hint="eastAsia" w:ascii="仿宋_GB2312" w:hAnsi="仿宋_GB2312" w:eastAsia="仿宋_GB2312" w:cs="仿宋_GB2312"/>
        </w:rPr>
        <w:t>84</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第二节 拓宽农副产品流通渠道</w:t>
      </w:r>
      <w:r>
        <w:rPr>
          <w:rFonts w:hint="eastAsia" w:ascii="仿宋_GB2312" w:hAnsi="仿宋_GB2312" w:eastAsia="仿宋_GB2312" w:cs="仿宋_GB2312"/>
        </w:rPr>
        <w:tab/>
      </w:r>
      <w:r>
        <w:rPr>
          <w:rFonts w:hint="eastAsia" w:ascii="仿宋_GB2312" w:hAnsi="仿宋_GB2312" w:eastAsia="仿宋_GB2312" w:cs="仿宋_GB2312"/>
        </w:rPr>
        <w:t>86</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第三节 提升产业链供应链价值链现代化水平</w:t>
      </w:r>
      <w:r>
        <w:rPr>
          <w:rFonts w:hint="eastAsia" w:ascii="仿宋_GB2312" w:hAnsi="仿宋_GB2312" w:eastAsia="仿宋_GB2312" w:cs="仿宋_GB2312"/>
        </w:rPr>
        <w:tab/>
      </w:r>
      <w:r>
        <w:rPr>
          <w:rFonts w:hint="eastAsia" w:ascii="仿宋_GB2312" w:hAnsi="仿宋_GB2312" w:eastAsia="仿宋_GB2312" w:cs="仿宋_GB2312"/>
        </w:rPr>
        <w:t>87</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第四节 开展“三产三新三链”融合试点</w:t>
      </w:r>
      <w:r>
        <w:rPr>
          <w:rFonts w:hint="eastAsia" w:ascii="仿宋_GB2312" w:hAnsi="仿宋_GB2312" w:eastAsia="仿宋_GB2312" w:cs="仿宋_GB2312"/>
        </w:rPr>
        <w:tab/>
      </w:r>
      <w:r>
        <w:rPr>
          <w:rFonts w:hint="eastAsia" w:ascii="仿宋_GB2312" w:hAnsi="仿宋_GB2312" w:eastAsia="仿宋_GB2312" w:cs="仿宋_GB2312"/>
        </w:rPr>
        <w:t>88</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黑体" w:hAnsi="黑体" w:eastAsia="黑体" w:cs="黑体"/>
        </w:rPr>
        <w:t>第九章 推进特色现代农业绿色发展</w:t>
      </w:r>
      <w:r>
        <w:rPr>
          <w:rFonts w:hint="eastAsia" w:ascii="仿宋_GB2312" w:hAnsi="仿宋_GB2312" w:eastAsia="仿宋_GB2312" w:cs="仿宋_GB2312"/>
        </w:rPr>
        <w:tab/>
      </w:r>
      <w:r>
        <w:rPr>
          <w:rFonts w:hint="eastAsia" w:ascii="仿宋_GB2312" w:hAnsi="仿宋_GB2312" w:eastAsia="仿宋_GB2312" w:cs="仿宋_GB2312"/>
        </w:rPr>
        <w:t>90</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第一节 推进种植业绿色发展</w:t>
      </w:r>
      <w:r>
        <w:rPr>
          <w:rFonts w:hint="eastAsia" w:ascii="仿宋_GB2312" w:hAnsi="仿宋_GB2312" w:eastAsia="仿宋_GB2312" w:cs="仿宋_GB2312"/>
        </w:rPr>
        <w:tab/>
      </w:r>
      <w:r>
        <w:rPr>
          <w:rFonts w:hint="eastAsia" w:ascii="仿宋_GB2312" w:hAnsi="仿宋_GB2312" w:eastAsia="仿宋_GB2312" w:cs="仿宋_GB2312"/>
        </w:rPr>
        <w:t>90</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第二节 推进畜牧业绿色循环发展</w:t>
      </w:r>
      <w:r>
        <w:rPr>
          <w:rFonts w:hint="eastAsia" w:ascii="仿宋_GB2312" w:hAnsi="仿宋_GB2312" w:eastAsia="仿宋_GB2312" w:cs="仿宋_GB2312"/>
        </w:rPr>
        <w:tab/>
      </w:r>
      <w:r>
        <w:rPr>
          <w:rFonts w:hint="eastAsia" w:ascii="仿宋_GB2312" w:hAnsi="仿宋_GB2312" w:eastAsia="仿宋_GB2312" w:cs="仿宋_GB2312"/>
        </w:rPr>
        <w:t>91</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第三节 推进渔业绿色发展</w:t>
      </w:r>
      <w:r>
        <w:rPr>
          <w:rFonts w:hint="eastAsia" w:ascii="仿宋_GB2312" w:hAnsi="仿宋_GB2312" w:eastAsia="仿宋_GB2312" w:cs="仿宋_GB2312"/>
        </w:rPr>
        <w:tab/>
      </w:r>
      <w:r>
        <w:rPr>
          <w:rFonts w:hint="eastAsia" w:ascii="仿宋_GB2312" w:hAnsi="仿宋_GB2312" w:eastAsia="仿宋_GB2312" w:cs="仿宋_GB2312"/>
        </w:rPr>
        <w:t>92</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第四节 提高农产品质量安全水平</w:t>
      </w:r>
      <w:r>
        <w:rPr>
          <w:rFonts w:hint="eastAsia" w:ascii="仿宋_GB2312" w:hAnsi="仿宋_GB2312" w:eastAsia="仿宋_GB2312" w:cs="仿宋_GB2312"/>
        </w:rPr>
        <w:tab/>
      </w:r>
      <w:r>
        <w:rPr>
          <w:rFonts w:hint="eastAsia" w:ascii="仿宋_GB2312" w:hAnsi="仿宋_GB2312" w:eastAsia="仿宋_GB2312" w:cs="仿宋_GB2312"/>
        </w:rPr>
        <w:t>92</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第五节 构建农业绿色发展技术体系</w:t>
      </w:r>
      <w:r>
        <w:rPr>
          <w:rFonts w:hint="eastAsia" w:ascii="仿宋_GB2312" w:hAnsi="仿宋_GB2312" w:eastAsia="仿宋_GB2312" w:cs="仿宋_GB2312"/>
        </w:rPr>
        <w:tab/>
      </w:r>
      <w:r>
        <w:rPr>
          <w:rFonts w:hint="eastAsia" w:ascii="仿宋_GB2312" w:hAnsi="仿宋_GB2312" w:eastAsia="仿宋_GB2312" w:cs="仿宋_GB2312"/>
        </w:rPr>
        <w:t>93</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黑体" w:hAnsi="黑体" w:eastAsia="黑体" w:cs="黑体"/>
        </w:rPr>
        <w:t>第十章</w:t>
      </w:r>
      <w:r>
        <w:rPr>
          <w:rFonts w:hint="eastAsia" w:ascii="黑体" w:hAnsi="黑体" w:eastAsia="黑体" w:cs="黑体"/>
          <w:lang w:eastAsia="zh-CN"/>
        </w:rPr>
        <w:t>　</w:t>
      </w:r>
      <w:r>
        <w:rPr>
          <w:rFonts w:hint="eastAsia" w:ascii="黑体" w:hAnsi="黑体" w:eastAsia="黑体" w:cs="黑体"/>
        </w:rPr>
        <w:t>强化特色现代农业支持保护体系</w:t>
      </w:r>
      <w:r>
        <w:rPr>
          <w:rFonts w:hint="eastAsia" w:ascii="仿宋_GB2312" w:hAnsi="仿宋_GB2312" w:eastAsia="仿宋_GB2312" w:cs="仿宋_GB2312"/>
        </w:rPr>
        <w:tab/>
      </w:r>
      <w:r>
        <w:rPr>
          <w:rFonts w:hint="eastAsia" w:ascii="仿宋_GB2312" w:hAnsi="仿宋_GB2312" w:eastAsia="仿宋_GB2312" w:cs="仿宋_GB2312"/>
        </w:rPr>
        <w:t>95</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第一节 强化特色现代农业科技创新驱动</w:t>
      </w:r>
      <w:r>
        <w:rPr>
          <w:rFonts w:hint="eastAsia" w:ascii="仿宋_GB2312" w:hAnsi="仿宋_GB2312" w:eastAsia="仿宋_GB2312" w:cs="仿宋_GB2312"/>
        </w:rPr>
        <w:tab/>
      </w:r>
      <w:r>
        <w:rPr>
          <w:rFonts w:hint="eastAsia" w:ascii="仿宋_GB2312" w:hAnsi="仿宋_GB2312" w:eastAsia="仿宋_GB2312" w:cs="仿宋_GB2312"/>
        </w:rPr>
        <w:t>95</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第二节 加强农业综合防灾减灾能力</w:t>
      </w:r>
      <w:r>
        <w:rPr>
          <w:rFonts w:hint="eastAsia" w:ascii="仿宋_GB2312" w:hAnsi="仿宋_GB2312" w:eastAsia="仿宋_GB2312" w:cs="仿宋_GB2312"/>
        </w:rPr>
        <w:tab/>
      </w:r>
      <w:r>
        <w:rPr>
          <w:rFonts w:hint="eastAsia" w:ascii="仿宋_GB2312" w:hAnsi="仿宋_GB2312" w:eastAsia="仿宋_GB2312" w:cs="仿宋_GB2312"/>
        </w:rPr>
        <w:t>96</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第三节 建立健全特色现代农业体制机制</w:t>
      </w:r>
      <w:r>
        <w:rPr>
          <w:rFonts w:hint="eastAsia" w:ascii="仿宋_GB2312" w:hAnsi="仿宋_GB2312" w:eastAsia="仿宋_GB2312" w:cs="仿宋_GB2312"/>
        </w:rPr>
        <w:tab/>
      </w:r>
      <w:r>
        <w:rPr>
          <w:rFonts w:hint="eastAsia" w:ascii="仿宋_GB2312" w:hAnsi="仿宋_GB2312" w:eastAsia="仿宋_GB2312" w:cs="仿宋_GB2312"/>
        </w:rPr>
        <w:t>97</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第四节 深化农业对外开放</w:t>
      </w:r>
      <w:r>
        <w:rPr>
          <w:rFonts w:hint="eastAsia" w:ascii="仿宋_GB2312" w:hAnsi="仿宋_GB2312" w:eastAsia="仿宋_GB2312" w:cs="仿宋_GB2312"/>
        </w:rPr>
        <w:tab/>
      </w:r>
      <w:r>
        <w:rPr>
          <w:rFonts w:hint="eastAsia" w:ascii="仿宋_GB2312" w:hAnsi="仿宋_GB2312" w:eastAsia="仿宋_GB2312" w:cs="仿宋_GB2312"/>
        </w:rPr>
        <w:t>100</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第五节 巩固拓展脱贫攻坚成果与乡村振兴有效衔接</w:t>
      </w:r>
      <w:r>
        <w:rPr>
          <w:rFonts w:hint="eastAsia" w:ascii="仿宋_GB2312" w:hAnsi="仿宋_GB2312" w:eastAsia="仿宋_GB2312" w:cs="仿宋_GB2312"/>
        </w:rPr>
        <w:tab/>
      </w:r>
      <w:r>
        <w:rPr>
          <w:rFonts w:hint="eastAsia" w:ascii="仿宋_GB2312" w:hAnsi="仿宋_GB2312" w:eastAsia="仿宋_GB2312" w:cs="仿宋_GB2312"/>
        </w:rPr>
        <w:t>102</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黑体" w:hAnsi="黑体" w:eastAsia="黑体" w:cs="黑体"/>
        </w:rPr>
        <w:t>第十一章　保障措施</w:t>
      </w:r>
      <w:r>
        <w:rPr>
          <w:rFonts w:hint="eastAsia" w:ascii="仿宋_GB2312" w:hAnsi="仿宋_GB2312" w:eastAsia="仿宋_GB2312" w:cs="仿宋_GB2312"/>
        </w:rPr>
        <w:tab/>
      </w:r>
      <w:r>
        <w:rPr>
          <w:rFonts w:hint="eastAsia" w:ascii="仿宋_GB2312" w:hAnsi="仿宋_GB2312" w:eastAsia="仿宋_GB2312" w:cs="仿宋_GB2312"/>
        </w:rPr>
        <w:t>104</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第一节 加强农业组织领导</w:t>
      </w:r>
      <w:r>
        <w:rPr>
          <w:rFonts w:hint="eastAsia" w:ascii="仿宋_GB2312" w:hAnsi="仿宋_GB2312" w:eastAsia="仿宋_GB2312" w:cs="仿宋_GB2312"/>
        </w:rPr>
        <w:tab/>
      </w:r>
      <w:r>
        <w:rPr>
          <w:rFonts w:hint="eastAsia" w:ascii="仿宋_GB2312" w:hAnsi="仿宋_GB2312" w:eastAsia="仿宋_GB2312" w:cs="仿宋_GB2312"/>
        </w:rPr>
        <w:t>104</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第二节 强化农业法治保障</w:t>
      </w:r>
      <w:r>
        <w:rPr>
          <w:rFonts w:hint="eastAsia" w:ascii="仿宋_GB2312" w:hAnsi="仿宋_GB2312" w:eastAsia="仿宋_GB2312" w:cs="仿宋_GB2312"/>
        </w:rPr>
        <w:tab/>
      </w:r>
      <w:r>
        <w:rPr>
          <w:rFonts w:hint="eastAsia" w:ascii="仿宋_GB2312" w:hAnsi="仿宋_GB2312" w:eastAsia="仿宋_GB2312" w:cs="仿宋_GB2312"/>
        </w:rPr>
        <w:t>104</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第三节 优化农业发展环境</w:t>
      </w:r>
      <w:r>
        <w:rPr>
          <w:rFonts w:hint="eastAsia" w:ascii="仿宋_GB2312" w:hAnsi="仿宋_GB2312" w:eastAsia="仿宋_GB2312" w:cs="仿宋_GB2312"/>
        </w:rPr>
        <w:tab/>
      </w:r>
      <w:r>
        <w:rPr>
          <w:rFonts w:hint="eastAsia" w:ascii="仿宋_GB2312" w:hAnsi="仿宋_GB2312" w:eastAsia="仿宋_GB2312" w:cs="仿宋_GB2312"/>
        </w:rPr>
        <w:t>105</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eastAsia="仿宋_GB2312" w:cs="仿宋_GB2312"/>
        </w:rPr>
        <w:t>第四节 推进农业项目带动</w:t>
      </w:r>
      <w:r>
        <w:rPr>
          <w:rFonts w:hint="eastAsia" w:ascii="仿宋_GB2312" w:hAnsi="仿宋_GB2312" w:eastAsia="仿宋_GB2312" w:cs="仿宋_GB2312"/>
        </w:rPr>
        <w:tab/>
      </w:r>
      <w:r>
        <w:rPr>
          <w:rFonts w:hint="eastAsia" w:ascii="仿宋_GB2312" w:hAnsi="仿宋_GB2312" w:eastAsia="仿宋_GB2312" w:cs="仿宋_GB2312"/>
        </w:rPr>
        <w:t>105</w:t>
      </w:r>
    </w:p>
    <w:p>
      <w:pPr>
        <w:tabs>
          <w:tab w:val="right" w:leader="dot" w:pos="8400"/>
          <w:tab w:val="right" w:leader="dot" w:pos="8820"/>
        </w:tabs>
        <w:adjustRightInd w:val="0"/>
        <w:snapToGrid w:val="0"/>
        <w:spacing w:line="600" w:lineRule="exact"/>
        <w:ind w:left="320" w:leftChars="100"/>
        <w:rPr>
          <w:rFonts w:hint="eastAsia" w:ascii="黑体" w:hAnsi="黑体" w:eastAsia="黑体" w:cs="黑体"/>
        </w:rPr>
      </w:pP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黑体" w:hAnsi="黑体" w:eastAsia="黑体" w:cs="黑体"/>
        </w:rPr>
        <w:t>附件</w:t>
      </w:r>
      <w:r>
        <w:rPr>
          <w:rFonts w:hint="eastAsia" w:ascii="黑体" w:hAnsi="黑体" w:eastAsia="黑体" w:cs="黑体"/>
          <w:lang w:eastAsia="zh-CN"/>
        </w:rPr>
        <w:t>：</w:t>
      </w:r>
      <w:r>
        <w:rPr>
          <w:rFonts w:hint="eastAsia" w:ascii="仿宋_GB2312" w:hAnsi="仿宋_GB2312" w:eastAsia="仿宋_GB2312" w:cs="仿宋_GB2312"/>
        </w:rPr>
        <w:t>1</w:t>
      </w:r>
      <w:r>
        <w:rPr>
          <w:rFonts w:hint="eastAsia" w:ascii="仿宋_GB2312" w:hAnsi="仿宋_GB2312" w:cs="仿宋_GB2312"/>
          <w:lang w:val="en-US" w:eastAsia="zh-CN"/>
        </w:rPr>
        <w:t>.</w:t>
      </w:r>
      <w:r>
        <w:rPr>
          <w:rFonts w:hint="eastAsia" w:ascii="仿宋_GB2312" w:hAnsi="仿宋_GB2312" w:eastAsia="仿宋_GB2312" w:cs="仿宋_GB2312"/>
        </w:rPr>
        <w:t>宁德市“十四五”农业领域重大工程项目规划表</w:t>
      </w:r>
      <w:r>
        <w:rPr>
          <w:rFonts w:hint="eastAsia" w:ascii="仿宋_GB2312" w:hAnsi="仿宋_GB2312" w:eastAsia="仿宋_GB2312" w:cs="仿宋_GB2312"/>
        </w:rPr>
        <w:tab/>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cs="仿宋_GB2312"/>
          <w:lang w:eastAsia="zh-CN"/>
        </w:rPr>
        <w:t>　　　　</w:t>
      </w:r>
      <w:r>
        <w:rPr>
          <w:rFonts w:hint="eastAsia" w:ascii="仿宋_GB2312" w:hAnsi="仿宋_GB2312" w:eastAsia="仿宋_GB2312" w:cs="仿宋_GB2312"/>
        </w:rPr>
        <w:tab/>
      </w:r>
      <w:r>
        <w:rPr>
          <w:rFonts w:hint="eastAsia" w:ascii="仿宋_GB2312" w:hAnsi="仿宋_GB2312" w:eastAsia="仿宋_GB2312" w:cs="仿宋_GB2312"/>
        </w:rPr>
        <w:t>106</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cs="仿宋_GB2312"/>
          <w:lang w:eastAsia="zh-CN"/>
        </w:rPr>
        <w:t>　　　</w:t>
      </w:r>
      <w:r>
        <w:rPr>
          <w:rFonts w:hint="eastAsia" w:ascii="仿宋_GB2312" w:hAnsi="仿宋_GB2312" w:eastAsia="仿宋_GB2312" w:cs="仿宋_GB2312"/>
        </w:rPr>
        <w:t>2</w:t>
      </w:r>
      <w:r>
        <w:rPr>
          <w:rFonts w:hint="eastAsia" w:ascii="仿宋_GB2312" w:hAnsi="仿宋_GB2312" w:cs="仿宋_GB2312"/>
          <w:lang w:val="en-US" w:eastAsia="zh-CN"/>
        </w:rPr>
        <w:t>.</w:t>
      </w:r>
      <w:r>
        <w:rPr>
          <w:rFonts w:hint="eastAsia" w:ascii="仿宋_GB2312" w:hAnsi="仿宋_GB2312" w:eastAsia="仿宋_GB2312" w:cs="仿宋_GB2312"/>
        </w:rPr>
        <w:t>规划相关图纸</w:t>
      </w:r>
      <w:r>
        <w:rPr>
          <w:rFonts w:hint="eastAsia" w:ascii="仿宋_GB2312" w:hAnsi="仿宋_GB2312" w:eastAsia="仿宋_GB2312" w:cs="仿宋_GB2312"/>
        </w:rPr>
        <w:tab/>
      </w:r>
      <w:r>
        <w:rPr>
          <w:rFonts w:hint="eastAsia" w:ascii="仿宋_GB2312" w:hAnsi="仿宋_GB2312" w:eastAsia="仿宋_GB2312" w:cs="仿宋_GB2312"/>
        </w:rPr>
        <w:t>111</w:t>
      </w:r>
    </w:p>
    <w:p>
      <w:pPr>
        <w:tabs>
          <w:tab w:val="right" w:leader="dot" w:pos="8400"/>
          <w:tab w:val="right" w:leader="dot" w:pos="8820"/>
        </w:tabs>
        <w:adjustRightInd w:val="0"/>
        <w:snapToGrid w:val="0"/>
        <w:spacing w:line="600" w:lineRule="exact"/>
        <w:ind w:left="320" w:leftChars="100"/>
        <w:rPr>
          <w:rFonts w:hint="eastAsia" w:ascii="仿宋_GB2312" w:hAnsi="仿宋_GB2312" w:eastAsia="仿宋_GB2312" w:cs="仿宋_GB2312"/>
        </w:rPr>
      </w:pPr>
      <w:r>
        <w:rPr>
          <w:rFonts w:hint="eastAsia" w:ascii="仿宋_GB2312" w:hAnsi="仿宋_GB2312" w:cs="仿宋_GB2312"/>
          <w:lang w:eastAsia="zh-CN"/>
        </w:rPr>
        <w:t>　　　</w:t>
      </w:r>
      <w:r>
        <w:rPr>
          <w:rFonts w:hint="eastAsia" w:ascii="仿宋_GB2312" w:hAnsi="仿宋_GB2312" w:eastAsia="仿宋_GB2312" w:cs="仿宋_GB2312"/>
        </w:rPr>
        <w:t>3</w:t>
      </w:r>
      <w:r>
        <w:rPr>
          <w:rFonts w:hint="eastAsia" w:ascii="仿宋_GB2312" w:hAnsi="仿宋_GB2312" w:cs="仿宋_GB2312"/>
          <w:lang w:val="en-US" w:eastAsia="zh-CN"/>
        </w:rPr>
        <w:t>.</w:t>
      </w:r>
      <w:r>
        <w:rPr>
          <w:rFonts w:hint="eastAsia" w:ascii="仿宋_GB2312" w:hAnsi="仿宋_GB2312" w:eastAsia="仿宋_GB2312" w:cs="仿宋_GB2312"/>
        </w:rPr>
        <w:t>规划相关表格</w:t>
      </w:r>
      <w:r>
        <w:rPr>
          <w:rFonts w:hint="eastAsia" w:ascii="仿宋_GB2312" w:hAnsi="仿宋_GB2312" w:eastAsia="仿宋_GB2312" w:cs="仿宋_GB2312"/>
        </w:rPr>
        <w:tab/>
      </w:r>
      <w:r>
        <w:rPr>
          <w:rFonts w:hint="eastAsia" w:ascii="仿宋_GB2312" w:hAnsi="仿宋_GB2312" w:eastAsia="仿宋_GB2312" w:cs="仿宋_GB2312"/>
        </w:rPr>
        <w:t>114</w:t>
      </w:r>
    </w:p>
    <w:p>
      <w:pPr>
        <w:pStyle w:val="3"/>
        <w:tabs>
          <w:tab w:val="right" w:leader="dot" w:pos="8400"/>
        </w:tabs>
        <w:adjustRightInd w:val="0"/>
        <w:snapToGrid w:val="0"/>
        <w:spacing w:line="600" w:lineRule="exact"/>
        <w:ind w:left="320" w:leftChars="100"/>
        <w:rPr>
          <w:rFonts w:ascii="楷体_GB2312" w:hAnsi="楷体_GB2312" w:eastAsia="楷体_GB2312" w:cs="楷体_GB2312"/>
          <w:color w:val="000000"/>
          <w:sz w:val="30"/>
          <w:szCs w:val="30"/>
        </w:rPr>
        <w:sectPr>
          <w:footerReference r:id="rId9" w:type="default"/>
          <w:pgSz w:w="11905" w:h="16838"/>
          <w:pgMar w:top="2098" w:right="1417" w:bottom="1587" w:left="1587" w:header="851" w:footer="1361" w:gutter="0"/>
          <w:paperSrc/>
          <w:pgNumType w:fmt="decimal"/>
          <w:cols w:space="720" w:num="1"/>
          <w:rtlGutter w:val="0"/>
          <w:docGrid w:type="lines" w:linePitch="312" w:charSpace="0"/>
        </w:sectPr>
      </w:pPr>
    </w:p>
    <w:p>
      <w:pPr>
        <w:pStyle w:val="3"/>
        <w:rPr>
          <w:rFonts w:ascii="方正小标宋简体" w:hAnsi="方正小标宋简体" w:eastAsia="方正小标宋简体" w:cs="方正小标宋简体"/>
          <w:b w:val="0"/>
          <w:bCs/>
          <w:color w:val="000000"/>
          <w:sz w:val="44"/>
          <w:szCs w:val="44"/>
        </w:rPr>
      </w:pPr>
      <w:bookmarkStart w:id="3" w:name="_Toc18199"/>
      <w:bookmarkStart w:id="4" w:name="_Toc28931"/>
      <w:bookmarkStart w:id="5" w:name="_Toc3246"/>
      <w:bookmarkStart w:id="6" w:name="_Toc9710"/>
      <w:bookmarkStart w:id="7" w:name="_Toc30990"/>
      <w:bookmarkStart w:id="8" w:name="_Toc3527"/>
      <w:bookmarkStart w:id="9" w:name="_Toc28487"/>
      <w:bookmarkStart w:id="10" w:name="_Toc4935"/>
      <w:bookmarkStart w:id="11" w:name="_Toc15182"/>
      <w:bookmarkStart w:id="12" w:name="_Toc1934"/>
      <w:bookmarkStart w:id="13" w:name="_Toc17522"/>
    </w:p>
    <w:p>
      <w:pPr>
        <w:pStyle w:val="3"/>
        <w:rPr>
          <w:rFonts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sz w:val="44"/>
          <w:szCs w:val="44"/>
        </w:rPr>
        <w:t>前  言</w:t>
      </w:r>
      <w:bookmarkEnd w:id="3"/>
      <w:bookmarkEnd w:id="4"/>
      <w:bookmarkEnd w:id="5"/>
      <w:bookmarkEnd w:id="6"/>
      <w:bookmarkEnd w:id="7"/>
      <w:bookmarkEnd w:id="8"/>
      <w:bookmarkEnd w:id="9"/>
      <w:bookmarkEnd w:id="10"/>
      <w:bookmarkEnd w:id="11"/>
      <w:bookmarkEnd w:id="12"/>
      <w:bookmarkEnd w:id="13"/>
    </w:p>
    <w:p>
      <w:pPr>
        <w:adjustRightInd w:val="0"/>
        <w:snapToGrid w:val="0"/>
        <w:ind w:firstLine="640"/>
        <w:rPr>
          <w:rFonts w:ascii="楷体_GB2312" w:hAnsi="楷体_GB2312" w:eastAsia="楷体_GB2312" w:cs="楷体_GB2312"/>
          <w:color w:val="000000"/>
          <w:szCs w:val="32"/>
        </w:rPr>
      </w:pP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十四五”时期，是乘势而上开启全面建设社会主义现代化国家新征程、向第二个百年奋斗目标进军的第一个五年，也是加快特色现代农业高质量发展的关键五年。发展特色现代农业，既是巩固拓展脱贫攻坚成果的重要支撑、乡村全面振兴的重要根基、推进农业农村现代化的重要引擎，也是加快转变农业经济增长方式，促进农村经济发展的现实途径。根据市委、市政府的工作部署，编制《宁德市“十四五”特色现代农业发展专项规划》（以下简称《规划》）。</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规划》衔接宁德市“一核两廊五轴”总体发展格局和“沿海蓝色经济走廊”“山区绿色经济走廊”产业布局，积极融入闽东北协同发展区建设，强化大数据时代科技创新的核心支撑，提出打造具有闽东山海特质、时代特征的“三区一基地”（闽东特色现代农业集聚区、闽东山地农业绿色发展先行区、山海农业融合发展示范区、数字农业创新应用基地）。《规划》紧扣特色现代农业发展重点环节和关键领域，突出加快转变农业发展方式，调整与市场需求相适应、与资源禀赋相匹配的特色现代农业生产结构和区域布局，强化农业科技创新驱动，推动全市特色现代农业高质量发展、农民持续增收，为走好具有闽东特色乡村振兴之路，努力打造“全国乡村振兴样板区”，谱写“宁德篇章”筑牢稳固根基。</w:t>
      </w:r>
    </w:p>
    <w:p>
      <w:pPr>
        <w:adjustRightInd w:val="0"/>
        <w:snapToGrid w:val="0"/>
        <w:spacing w:line="596" w:lineRule="exact"/>
        <w:ind w:firstLine="600"/>
        <w:rPr>
          <w:rFonts w:ascii="仿宋_GB2312" w:hAnsi="仿宋_GB2312" w:cs="仿宋_GB2312"/>
          <w:color w:val="000000"/>
          <w:sz w:val="30"/>
          <w:szCs w:val="30"/>
        </w:rPr>
        <w:sectPr>
          <w:footerReference r:id="rId10" w:type="default"/>
          <w:pgSz w:w="11905" w:h="16838"/>
          <w:pgMar w:top="2098" w:right="1417" w:bottom="1587" w:left="1587" w:header="851" w:footer="1361" w:gutter="0"/>
          <w:paperSrc/>
          <w:pgNumType w:fmt="decimal"/>
          <w:cols w:space="720" w:num="1"/>
          <w:rtlGutter w:val="0"/>
          <w:docGrid w:type="lines" w:linePitch="312" w:charSpace="0"/>
        </w:sectPr>
      </w:pPr>
      <w:r>
        <w:rPr>
          <w:rFonts w:hint="eastAsia" w:ascii="仿宋_GB2312" w:hAnsi="仿宋_GB2312" w:cs="仿宋_GB2312"/>
          <w:color w:val="000000"/>
          <w:sz w:val="30"/>
          <w:szCs w:val="30"/>
        </w:rPr>
        <w:t>本规划根据《宁德市国民经济和社会发展第十四个五年规划和二○三五年远景目标纲要》编制，基期为2020年，规划期为2021—2025年。主要明确全市特色现代农业到2035年发展远景目标和未来五年的总体思路、发展目标、发展布局和重点任务，是推进全市特色现代农业发展的宏观指导性文件，也是实施农业重点工程和具体产业项目的基本依据。</w:t>
      </w:r>
    </w:p>
    <w:p>
      <w:pPr>
        <w:pStyle w:val="3"/>
        <w:adjustRightInd w:val="0"/>
        <w:snapToGrid w:val="0"/>
        <w:spacing w:before="0" w:after="0" w:line="596" w:lineRule="exact"/>
        <w:rPr>
          <w:b w:val="0"/>
          <w:bCs/>
          <w:color w:val="000000"/>
          <w:sz w:val="32"/>
        </w:rPr>
      </w:pPr>
      <w:bookmarkStart w:id="14" w:name="_Toc19366"/>
      <w:bookmarkStart w:id="15" w:name="_Toc19916"/>
      <w:bookmarkStart w:id="16" w:name="_Toc908"/>
      <w:bookmarkStart w:id="17" w:name="_Toc8409"/>
      <w:bookmarkStart w:id="18" w:name="_Toc30827"/>
      <w:bookmarkStart w:id="19" w:name="_Toc7546"/>
      <w:bookmarkStart w:id="20" w:name="_Toc32477"/>
      <w:bookmarkStart w:id="21" w:name="_Toc5056"/>
      <w:bookmarkStart w:id="22" w:name="_Toc25596"/>
      <w:bookmarkStart w:id="23" w:name="_Toc6383"/>
      <w:bookmarkStart w:id="24" w:name="_Toc11449"/>
    </w:p>
    <w:p>
      <w:pPr>
        <w:pStyle w:val="3"/>
        <w:adjustRightInd w:val="0"/>
        <w:snapToGrid w:val="0"/>
        <w:spacing w:before="0" w:after="0" w:line="560" w:lineRule="exact"/>
        <w:rPr>
          <w:b w:val="0"/>
          <w:bCs/>
          <w:color w:val="000000"/>
          <w:sz w:val="32"/>
        </w:rPr>
      </w:pPr>
      <w:r>
        <w:rPr>
          <w:rFonts w:hint="eastAsia"/>
          <w:b w:val="0"/>
          <w:bCs/>
          <w:color w:val="000000"/>
          <w:sz w:val="32"/>
        </w:rPr>
        <w:t>第一章　基础条件和发展环境</w:t>
      </w:r>
      <w:bookmarkEnd w:id="14"/>
      <w:bookmarkEnd w:id="15"/>
      <w:bookmarkEnd w:id="16"/>
      <w:bookmarkEnd w:id="17"/>
      <w:bookmarkEnd w:id="18"/>
      <w:bookmarkEnd w:id="19"/>
      <w:bookmarkEnd w:id="20"/>
      <w:bookmarkEnd w:id="21"/>
      <w:bookmarkEnd w:id="22"/>
      <w:bookmarkEnd w:id="23"/>
      <w:bookmarkEnd w:id="24"/>
    </w:p>
    <w:p>
      <w:pPr>
        <w:adjustRightInd w:val="0"/>
        <w:snapToGrid w:val="0"/>
        <w:spacing w:line="560" w:lineRule="exact"/>
        <w:ind w:firstLine="640"/>
        <w:rPr>
          <w:szCs w:val="32"/>
        </w:rPr>
      </w:pPr>
      <w:bookmarkStart w:id="25" w:name="_Toc14093"/>
      <w:bookmarkStart w:id="26" w:name="_Toc15436"/>
      <w:bookmarkStart w:id="27" w:name="_Toc22194"/>
      <w:bookmarkStart w:id="28" w:name="_Toc4047"/>
      <w:bookmarkStart w:id="29" w:name="_Toc24721"/>
      <w:bookmarkStart w:id="30" w:name="_Toc19722"/>
      <w:bookmarkStart w:id="31" w:name="_Toc23784"/>
      <w:bookmarkStart w:id="32" w:name="_Toc17174"/>
      <w:bookmarkStart w:id="33" w:name="_Toc23926"/>
      <w:bookmarkStart w:id="34" w:name="_Toc18082"/>
    </w:p>
    <w:p>
      <w:pPr>
        <w:pStyle w:val="3"/>
        <w:adjustRightInd w:val="0"/>
        <w:snapToGrid w:val="0"/>
        <w:spacing w:before="0" w:after="0" w:line="560" w:lineRule="exact"/>
        <w:rPr>
          <w:rFonts w:ascii="楷体_GB2312" w:hAnsi="楷体_GB2312" w:eastAsia="楷体_GB2312" w:cs="楷体_GB2312"/>
          <w:color w:val="000000"/>
          <w:sz w:val="32"/>
        </w:rPr>
      </w:pPr>
      <w:bookmarkStart w:id="35" w:name="_Toc32020"/>
      <w:r>
        <w:rPr>
          <w:rFonts w:hint="eastAsia" w:ascii="楷体_GB2312" w:hAnsi="楷体_GB2312" w:eastAsia="楷体_GB2312" w:cs="楷体_GB2312"/>
          <w:color w:val="000000"/>
          <w:sz w:val="32"/>
        </w:rPr>
        <w:t>第一节　基础条件</w:t>
      </w:r>
      <w:bookmarkEnd w:id="25"/>
      <w:bookmarkEnd w:id="26"/>
      <w:bookmarkEnd w:id="27"/>
      <w:bookmarkEnd w:id="28"/>
      <w:bookmarkEnd w:id="29"/>
      <w:bookmarkEnd w:id="30"/>
      <w:bookmarkEnd w:id="31"/>
      <w:bookmarkEnd w:id="32"/>
      <w:bookmarkEnd w:id="33"/>
      <w:bookmarkEnd w:id="34"/>
      <w:bookmarkEnd w:id="35"/>
    </w:p>
    <w:p>
      <w:pPr>
        <w:adjustRightInd w:val="0"/>
        <w:snapToGrid w:val="0"/>
        <w:spacing w:line="560" w:lineRule="exact"/>
        <w:ind w:firstLine="640"/>
      </w:pPr>
    </w:p>
    <w:p>
      <w:pPr>
        <w:adjustRightInd w:val="0"/>
        <w:snapToGrid w:val="0"/>
        <w:spacing w:line="560" w:lineRule="exact"/>
        <w:ind w:firstLine="600"/>
        <w:rPr>
          <w:color w:val="000000"/>
          <w:sz w:val="32"/>
          <w:szCs w:val="32"/>
        </w:rPr>
      </w:pPr>
      <w:r>
        <w:rPr>
          <w:rFonts w:hint="eastAsia"/>
          <w:color w:val="000000"/>
          <w:sz w:val="32"/>
          <w:szCs w:val="32"/>
        </w:rPr>
        <w:t>“十三五”以来，全市坚持以习近平新时代中国特色社会主义思想为指导，深入贯彻习近平总书记关于“三农”工作重要论述和中央决策部署，按照中央、省委省政府和市委市政府工作要求，以实施乡村振兴战略为总抓手，以农业供给侧结构性改革为主线，紧盯民生领域、脱贫攻坚，统筹协调推进“三农”领域各项改革发展任务落实落细，实现农业农村经济持续稳定增长，为“十四五”特色现代农业发展奠定了坚实的基础。</w:t>
      </w:r>
    </w:p>
    <w:p>
      <w:pPr>
        <w:pStyle w:val="5"/>
        <w:adjustRightInd w:val="0"/>
        <w:snapToGrid w:val="0"/>
        <w:spacing w:line="560" w:lineRule="exact"/>
        <w:ind w:firstLine="640" w:firstLineChars="200"/>
        <w:rPr>
          <w:rFonts w:hint="eastAsia" w:ascii="黑体" w:hAnsi="黑体" w:eastAsia="黑体" w:cs="黑体"/>
          <w:b w:val="0"/>
          <w:bCs/>
          <w:color w:val="000000"/>
          <w:sz w:val="32"/>
          <w:szCs w:val="32"/>
        </w:rPr>
      </w:pPr>
      <w:bookmarkStart w:id="36" w:name="_Toc14360"/>
      <w:bookmarkStart w:id="37" w:name="_Toc31941"/>
      <w:bookmarkStart w:id="38" w:name="_Toc5013"/>
      <w:bookmarkStart w:id="39" w:name="_Toc18867"/>
      <w:bookmarkStart w:id="40" w:name="_Toc8250"/>
      <w:bookmarkStart w:id="41" w:name="_Toc14024"/>
      <w:bookmarkStart w:id="42" w:name="_Toc27873"/>
      <w:bookmarkStart w:id="43" w:name="_Toc6377"/>
      <w:r>
        <w:rPr>
          <w:rFonts w:hint="eastAsia" w:ascii="黑体" w:hAnsi="黑体" w:eastAsia="黑体" w:cs="黑体"/>
          <w:b w:val="0"/>
          <w:bCs/>
          <w:color w:val="000000"/>
          <w:sz w:val="32"/>
          <w:szCs w:val="32"/>
        </w:rPr>
        <w:t>一、农业农村经济持续发展</w:t>
      </w:r>
      <w:bookmarkEnd w:id="36"/>
      <w:bookmarkEnd w:id="37"/>
      <w:bookmarkEnd w:id="38"/>
      <w:bookmarkEnd w:id="39"/>
      <w:bookmarkEnd w:id="40"/>
      <w:bookmarkEnd w:id="41"/>
      <w:bookmarkEnd w:id="42"/>
      <w:bookmarkEnd w:id="43"/>
    </w:p>
    <w:p>
      <w:pPr>
        <w:adjustRightInd w:val="0"/>
        <w:snapToGrid w:val="0"/>
        <w:spacing w:line="560" w:lineRule="exact"/>
        <w:ind w:firstLine="600"/>
        <w:rPr>
          <w:rFonts w:ascii="仿宋_GB2312" w:hAnsi="仿宋_GB2312" w:cs="仿宋_GB2312"/>
          <w:color w:val="000000"/>
          <w:sz w:val="32"/>
          <w:szCs w:val="32"/>
        </w:rPr>
      </w:pPr>
      <w:r>
        <w:rPr>
          <w:rFonts w:hint="eastAsia" w:ascii="仿宋_GB2312" w:hAnsi="仿宋_GB2312" w:cs="仿宋_GB2312"/>
          <w:color w:val="000000"/>
          <w:sz w:val="32"/>
          <w:szCs w:val="32"/>
        </w:rPr>
        <w:t>“十三五”期间，全市农林牧渔业总产值从2015年412.57亿元增长至2020年584.14亿元，按可比价格计算年平均增长3.8%；农村居民人均可支配收入从2015年12391元增长至2020年19050元，实现年均增长9.0%，增幅高于城镇居民人均可支配收入3.6个百分点。全市全力推动茶叶、水产、食用菌、水果、蔬菜、中药材、畜牧、林竹花卉和乡村休闲旅游等“8+1”特色产业发展，“8+1”特色产业全产业链产值超过1780亿元。</w:t>
      </w:r>
    </w:p>
    <w:p>
      <w:pPr>
        <w:pStyle w:val="5"/>
        <w:adjustRightInd w:val="0"/>
        <w:snapToGrid w:val="0"/>
        <w:spacing w:line="560" w:lineRule="exact"/>
        <w:ind w:firstLine="640" w:firstLineChars="200"/>
        <w:rPr>
          <w:rFonts w:hint="eastAsia" w:ascii="黑体" w:hAnsi="黑体" w:eastAsia="黑体" w:cs="黑体"/>
          <w:b w:val="0"/>
          <w:bCs/>
          <w:color w:val="000000"/>
          <w:sz w:val="32"/>
          <w:szCs w:val="32"/>
        </w:rPr>
      </w:pPr>
      <w:bookmarkStart w:id="44" w:name="_Toc13158"/>
      <w:bookmarkStart w:id="45" w:name="_Toc25706"/>
      <w:bookmarkStart w:id="46" w:name="_Toc15539"/>
      <w:bookmarkStart w:id="47" w:name="_Toc4688"/>
      <w:bookmarkStart w:id="48" w:name="_Toc3160"/>
      <w:bookmarkStart w:id="49" w:name="_Toc16359"/>
      <w:bookmarkStart w:id="50" w:name="_Toc27624"/>
      <w:bookmarkStart w:id="51" w:name="_Toc13636"/>
      <w:r>
        <w:rPr>
          <w:rFonts w:hint="eastAsia" w:ascii="黑体" w:hAnsi="黑体" w:eastAsia="黑体" w:cs="黑体"/>
          <w:b w:val="0"/>
          <w:bCs/>
          <w:color w:val="000000"/>
          <w:sz w:val="32"/>
          <w:szCs w:val="32"/>
        </w:rPr>
        <w:t>二、农产品保障供给能力持续增强</w:t>
      </w:r>
      <w:bookmarkEnd w:id="44"/>
      <w:bookmarkEnd w:id="45"/>
      <w:bookmarkEnd w:id="46"/>
      <w:bookmarkEnd w:id="47"/>
      <w:bookmarkEnd w:id="48"/>
      <w:bookmarkEnd w:id="49"/>
      <w:bookmarkEnd w:id="50"/>
      <w:bookmarkEnd w:id="51"/>
    </w:p>
    <w:p>
      <w:pPr>
        <w:adjustRightInd w:val="0"/>
        <w:snapToGrid w:val="0"/>
        <w:spacing w:line="560" w:lineRule="exact"/>
        <w:ind w:firstLine="600"/>
        <w:rPr>
          <w:rFonts w:ascii="仿宋_GB2312" w:hAnsi="仿宋_GB2312" w:cs="仿宋_GB2312"/>
          <w:color w:val="000000"/>
          <w:sz w:val="32"/>
          <w:szCs w:val="32"/>
        </w:rPr>
      </w:pPr>
      <w:r>
        <w:rPr>
          <w:rFonts w:hint="eastAsia" w:ascii="仿宋_GB2312" w:hAnsi="仿宋_GB2312" w:cs="仿宋_GB2312"/>
          <w:color w:val="000000"/>
          <w:sz w:val="32"/>
          <w:szCs w:val="32"/>
        </w:rPr>
        <w:t>“十三五”期间，全市持续开展粮食产能区建设，做好62.4万亩水稻生产功能区划定工作，加快推进高标准农田建设等；主要农产品产销两旺，茶叶、蔬菜、水果、食用菌全面增产，产量分别达到11.04万吨、101.18万吨、53.76万吨、20.56万吨（干鲜混合）；畜禽产品结构进一步优化，生猪存栏恢复到74.9万头，生猪出栏79.66万头，全市生猪饲养量5000头以上的规模场达41家，禽肉产量1.46万吨，禽蛋产量2.43万吨，肉蛋奶总产量达10.88万吨。</w:t>
      </w:r>
    </w:p>
    <w:p>
      <w:pPr>
        <w:pStyle w:val="5"/>
        <w:numPr>
          <w:ilvl w:val="0"/>
          <w:numId w:val="0"/>
        </w:numPr>
        <w:adjustRightInd w:val="0"/>
        <w:snapToGrid w:val="0"/>
        <w:spacing w:line="560" w:lineRule="exact"/>
        <w:ind w:firstLine="640" w:firstLineChars="200"/>
        <w:rPr>
          <w:rFonts w:hint="eastAsia" w:ascii="黑体" w:hAnsi="黑体" w:eastAsia="黑体" w:cs="黑体"/>
          <w:b w:val="0"/>
          <w:bCs/>
          <w:color w:val="000000"/>
          <w:sz w:val="32"/>
          <w:szCs w:val="32"/>
        </w:rPr>
      </w:pPr>
      <w:bookmarkStart w:id="52" w:name="_Toc29062"/>
      <w:bookmarkStart w:id="53" w:name="_Toc22168"/>
      <w:bookmarkStart w:id="54" w:name="_Toc920"/>
      <w:bookmarkStart w:id="55" w:name="_Toc586"/>
      <w:bookmarkStart w:id="56" w:name="_Toc18837"/>
      <w:bookmarkStart w:id="57" w:name="_Toc2688"/>
      <w:bookmarkStart w:id="58" w:name="_Toc12391"/>
      <w:bookmarkStart w:id="59" w:name="_Toc12673"/>
      <w:bookmarkStart w:id="60" w:name="_Toc20957"/>
      <w:r>
        <w:rPr>
          <w:rFonts w:hint="eastAsia" w:ascii="黑体" w:hAnsi="黑体" w:eastAsia="黑体" w:cs="黑体"/>
          <w:b w:val="0"/>
          <w:bCs/>
          <w:color w:val="000000"/>
          <w:sz w:val="32"/>
          <w:szCs w:val="32"/>
        </w:rPr>
        <w:t>三、特色现代农业发展水平持续提升</w:t>
      </w:r>
      <w:bookmarkEnd w:id="52"/>
      <w:bookmarkEnd w:id="53"/>
      <w:bookmarkEnd w:id="54"/>
      <w:bookmarkEnd w:id="55"/>
      <w:bookmarkEnd w:id="56"/>
      <w:bookmarkEnd w:id="57"/>
      <w:bookmarkEnd w:id="58"/>
      <w:bookmarkEnd w:id="59"/>
    </w:p>
    <w:p>
      <w:pPr>
        <w:adjustRightInd w:val="0"/>
        <w:snapToGrid w:val="0"/>
        <w:spacing w:line="560" w:lineRule="exact"/>
        <w:ind w:firstLine="600"/>
        <w:rPr>
          <w:color w:val="000000"/>
          <w:sz w:val="32"/>
          <w:szCs w:val="32"/>
        </w:rPr>
      </w:pPr>
      <w:r>
        <w:rPr>
          <w:rFonts w:hint="eastAsia" w:ascii="仿宋_GB2312" w:hAnsi="仿宋_GB2312" w:cs="仿宋_GB2312"/>
          <w:color w:val="000000"/>
          <w:sz w:val="32"/>
          <w:szCs w:val="32"/>
        </w:rPr>
        <w:t>“十三五”期间，全力推动渔业、茶叶、食用菌、水果、蔬菜、中草药材、畜牧、林竹花卉和乡村休闲旅游“8+1”特色产业向规模化、标准化、品牌化、信息化、企业化方向发展，促进特色产业提质增效。其中，茶叶、食用菌、水果、蔬菜、中草药材、畜牧全产业链产值分别达到185亿元、139.15亿元、100.59亿元、158.62亿元、61.38亿元、33.26亿元，比增（年均增长率）9.9%、16%、5.9%、6.22%、4.05%、-5.3%。新增国家现代农业产业园1个、省级现代农业产业园6个，国家农业产业强镇4个。建立相对集中连片300亩以上不用化学农药茶叶绿色生产示范基地140个，新建设施果蔬面积3万亩。</w:t>
      </w:r>
    </w:p>
    <w:p>
      <w:pPr>
        <w:pStyle w:val="5"/>
        <w:numPr>
          <w:ilvl w:val="0"/>
          <w:numId w:val="0"/>
        </w:numPr>
        <w:adjustRightInd w:val="0"/>
        <w:snapToGrid w:val="0"/>
        <w:spacing w:line="560" w:lineRule="exact"/>
        <w:ind w:firstLine="640" w:firstLineChars="200"/>
        <w:rPr>
          <w:rFonts w:hint="eastAsia" w:ascii="黑体" w:hAnsi="黑体" w:eastAsia="黑体" w:cs="黑体"/>
          <w:b w:val="0"/>
          <w:bCs/>
          <w:color w:val="000000"/>
          <w:sz w:val="32"/>
          <w:szCs w:val="32"/>
        </w:rPr>
      </w:pPr>
      <w:bookmarkStart w:id="61" w:name="_Toc21388"/>
      <w:bookmarkStart w:id="62" w:name="_Toc24274"/>
      <w:bookmarkStart w:id="63" w:name="_Toc28870"/>
      <w:bookmarkStart w:id="64" w:name="_Toc8964"/>
      <w:bookmarkStart w:id="65" w:name="_Toc9322"/>
      <w:bookmarkStart w:id="66" w:name="_Toc21216"/>
      <w:bookmarkStart w:id="67" w:name="_Toc26667"/>
      <w:r>
        <w:rPr>
          <w:rFonts w:hint="eastAsia" w:ascii="黑体" w:hAnsi="黑体" w:eastAsia="黑体" w:cs="黑体"/>
          <w:b w:val="0"/>
          <w:bCs/>
          <w:color w:val="000000"/>
          <w:sz w:val="32"/>
          <w:szCs w:val="32"/>
        </w:rPr>
        <w:t>四、农业科技和物质装备支撑持续</w:t>
      </w:r>
      <w:bookmarkEnd w:id="60"/>
      <w:bookmarkEnd w:id="61"/>
      <w:bookmarkEnd w:id="62"/>
      <w:bookmarkEnd w:id="63"/>
      <w:bookmarkEnd w:id="64"/>
      <w:bookmarkEnd w:id="65"/>
      <w:bookmarkEnd w:id="66"/>
      <w:bookmarkEnd w:id="67"/>
      <w:r>
        <w:rPr>
          <w:rFonts w:hint="eastAsia" w:ascii="黑体" w:hAnsi="黑体" w:eastAsia="黑体" w:cs="黑体"/>
          <w:b w:val="0"/>
          <w:bCs/>
          <w:color w:val="000000"/>
          <w:sz w:val="32"/>
          <w:szCs w:val="32"/>
        </w:rPr>
        <w:t>强化</w:t>
      </w:r>
    </w:p>
    <w:p>
      <w:pPr>
        <w:adjustRightInd w:val="0"/>
        <w:snapToGrid w:val="0"/>
        <w:spacing w:line="560" w:lineRule="exact"/>
        <w:ind w:firstLine="600"/>
        <w:rPr>
          <w:color w:val="000000"/>
          <w:sz w:val="32"/>
          <w:szCs w:val="32"/>
        </w:rPr>
      </w:pPr>
      <w:r>
        <w:rPr>
          <w:rFonts w:hint="eastAsia" w:ascii="仿宋_GB2312" w:hAnsi="仿宋_GB2312" w:cs="仿宋_GB2312"/>
          <w:color w:val="000000"/>
          <w:sz w:val="32"/>
          <w:szCs w:val="32"/>
        </w:rPr>
        <w:t>“十三五”期间，信息进村入户工程有序推进，新建成益农信息社1746个，打通全市数字农村最后一公里；实施农作物良种工程，引进各类农作物新品种100多个，建立各类农作物新品种示范与展示片28个，农作物良种覆盖率达98.5%以上，优质专用率达86.5%以上；大力开展农业机械化服务，完成主要粮食作物作业面积234.46万亩，主要农作物综合机械化率和水稻综合机械化率分别达到64.59%、70.99%。</w:t>
      </w:r>
    </w:p>
    <w:p>
      <w:pPr>
        <w:pStyle w:val="5"/>
        <w:numPr>
          <w:ilvl w:val="0"/>
          <w:numId w:val="0"/>
        </w:numPr>
        <w:adjustRightInd w:val="0"/>
        <w:snapToGrid w:val="0"/>
        <w:spacing w:line="560" w:lineRule="exact"/>
        <w:ind w:firstLine="640" w:firstLineChars="200"/>
        <w:rPr>
          <w:rFonts w:hint="eastAsia" w:ascii="黑体" w:hAnsi="黑体" w:eastAsia="黑体" w:cs="黑体"/>
          <w:b w:val="0"/>
          <w:bCs/>
          <w:color w:val="000000"/>
          <w:sz w:val="32"/>
          <w:szCs w:val="32"/>
        </w:rPr>
      </w:pPr>
      <w:bookmarkStart w:id="68" w:name="_Toc29038"/>
      <w:bookmarkStart w:id="69" w:name="_Toc15546"/>
      <w:bookmarkStart w:id="70" w:name="_Toc26449"/>
      <w:bookmarkStart w:id="71" w:name="_Toc18895"/>
      <w:bookmarkStart w:id="72" w:name="_Toc11391"/>
      <w:bookmarkStart w:id="73" w:name="_Toc1984"/>
      <w:bookmarkStart w:id="74" w:name="_Toc26987"/>
      <w:bookmarkStart w:id="75" w:name="_Toc5682"/>
      <w:r>
        <w:rPr>
          <w:rFonts w:hint="eastAsia" w:ascii="黑体" w:hAnsi="黑体" w:eastAsia="黑体" w:cs="黑体"/>
          <w:b w:val="0"/>
          <w:bCs/>
          <w:color w:val="000000"/>
          <w:sz w:val="32"/>
          <w:szCs w:val="32"/>
        </w:rPr>
        <w:t>五、农业农村改革持续深化</w:t>
      </w:r>
      <w:bookmarkEnd w:id="68"/>
      <w:bookmarkEnd w:id="69"/>
      <w:bookmarkEnd w:id="70"/>
      <w:bookmarkEnd w:id="71"/>
      <w:bookmarkEnd w:id="72"/>
      <w:bookmarkEnd w:id="73"/>
      <w:bookmarkEnd w:id="74"/>
      <w:bookmarkEnd w:id="75"/>
    </w:p>
    <w:p>
      <w:pPr>
        <w:adjustRightInd w:val="0"/>
        <w:snapToGrid w:val="0"/>
        <w:spacing w:line="560" w:lineRule="exact"/>
        <w:ind w:firstLine="600"/>
        <w:rPr>
          <w:rFonts w:ascii="仿宋_GB2312" w:hAnsi="仿宋_GB2312" w:cs="仿宋_GB2312"/>
          <w:color w:val="000000"/>
          <w:sz w:val="32"/>
          <w:szCs w:val="32"/>
        </w:rPr>
      </w:pPr>
      <w:r>
        <w:rPr>
          <w:rFonts w:hint="eastAsia" w:ascii="仿宋_GB2312" w:hAnsi="仿宋_GB2312" w:cs="仿宋_GB2312"/>
          <w:color w:val="000000"/>
          <w:sz w:val="32"/>
          <w:szCs w:val="32"/>
        </w:rPr>
        <w:t>“十三五”期间，农村土地承包经营权确权登记颁证基本完成，全市颁证到户519191本，颁证率98.29%。全市土地流转总面积74.9万亩，占全市农户家庭承包面积38.2%；农村集体产权制度改革工作扎实推进，农村集体资产清产核资和集体经济组织成员身份确认工作全部完成，全市拟股份合作制改革村（居）2027个，有1897个村（居）完成了股份合作制改革，完成率93.6%，其中寿宁县、福鼎市完成率100%；新型经营主体不断培育壮大，全市新增省级农民合作社示范社18家（总数106家）、省级家庭农场示范场14家（总数96家），完成高素质农民培训22939人。</w:t>
      </w:r>
      <w:bookmarkStart w:id="76" w:name="_Toc4287"/>
      <w:bookmarkStart w:id="77" w:name="_Toc6705"/>
      <w:bookmarkStart w:id="78" w:name="_Toc17542"/>
      <w:bookmarkStart w:id="79" w:name="_Toc12126"/>
      <w:bookmarkStart w:id="80" w:name="_Toc6"/>
      <w:bookmarkStart w:id="81" w:name="_Toc18044"/>
      <w:bookmarkStart w:id="82" w:name="_Toc25899"/>
      <w:bookmarkStart w:id="83" w:name="_Toc19235"/>
      <w:bookmarkStart w:id="84" w:name="_Toc28005"/>
      <w:bookmarkStart w:id="85" w:name="_Toc31921"/>
    </w:p>
    <w:bookmarkEnd w:id="76"/>
    <w:bookmarkEnd w:id="77"/>
    <w:bookmarkEnd w:id="78"/>
    <w:bookmarkEnd w:id="79"/>
    <w:bookmarkEnd w:id="80"/>
    <w:bookmarkEnd w:id="81"/>
    <w:bookmarkEnd w:id="82"/>
    <w:p>
      <w:pPr>
        <w:pStyle w:val="5"/>
        <w:adjustRightInd w:val="0"/>
        <w:snapToGrid w:val="0"/>
        <w:spacing w:line="596" w:lineRule="exact"/>
        <w:ind w:firstLine="0" w:firstLineChars="0"/>
        <w:jc w:val="center"/>
        <w:rPr>
          <w:rFonts w:ascii="仿宋_GB2312" w:hAnsi="仿宋_GB2312" w:cs="仿宋_GB2312"/>
          <w:color w:val="000000"/>
          <w:sz w:val="30"/>
          <w:szCs w:val="30"/>
        </w:rPr>
      </w:pPr>
      <w:bookmarkStart w:id="86" w:name="_Toc10977"/>
      <w:bookmarkStart w:id="87" w:name="_Toc30090"/>
      <w:bookmarkStart w:id="88" w:name="_Toc1587"/>
      <w:bookmarkStart w:id="89" w:name="_Toc6506"/>
      <w:bookmarkStart w:id="90" w:name="_Toc27279"/>
      <w:bookmarkStart w:id="91" w:name="_Toc235"/>
      <w:bookmarkStart w:id="92" w:name="_Toc26418"/>
      <w:bookmarkStart w:id="93" w:name="_Toc18432"/>
      <w:r>
        <w:rPr>
          <w:rFonts w:hint="eastAsia" w:ascii="方正小标宋_GBK" w:hAnsi="方正小标宋_GBK" w:eastAsia="方正小标宋_GBK" w:cs="方正小标宋_GBK"/>
          <w:b w:val="0"/>
          <w:bCs/>
          <w:color w:val="000000"/>
          <w:sz w:val="30"/>
          <w:szCs w:val="30"/>
        </w:rPr>
        <w:t>专栏1：“十三五”期间宁德市八大特色农业产业产值及增速</w:t>
      </w:r>
      <w:bookmarkEnd w:id="86"/>
      <w:bookmarkEnd w:id="87"/>
      <w:bookmarkEnd w:id="88"/>
      <w:bookmarkEnd w:id="89"/>
      <w:bookmarkEnd w:id="90"/>
      <w:bookmarkEnd w:id="91"/>
      <w:bookmarkEnd w:id="92"/>
      <w:bookmarkEnd w:id="93"/>
    </w:p>
    <w:p>
      <w:pPr>
        <w:spacing w:line="240" w:lineRule="auto"/>
        <w:ind w:firstLine="480"/>
        <w:jc w:val="right"/>
        <w:rPr>
          <w:rFonts w:ascii="仿宋_GB2312" w:hAnsi="仿宋_GB2312" w:cs="仿宋_GB2312"/>
          <w:bCs/>
          <w:color w:val="000000"/>
          <w:sz w:val="24"/>
        </w:rPr>
      </w:pPr>
      <w:r>
        <w:rPr>
          <w:rFonts w:hint="eastAsia" w:ascii="仿宋_GB2312" w:hAnsi="仿宋_GB2312" w:cs="仿宋_GB2312"/>
          <w:sz w:val="24"/>
        </w:rPr>
        <w:t>单位：亿元、%</w:t>
      </w:r>
    </w:p>
    <w:tbl>
      <w:tblPr>
        <w:tblStyle w:val="16"/>
        <w:tblW w:w="5391" w:type="pct"/>
        <w:tblCellSpacing w:w="0"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2179"/>
        <w:gridCol w:w="1469"/>
        <w:gridCol w:w="1275"/>
        <w:gridCol w:w="1541"/>
        <w:gridCol w:w="1465"/>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5" w:hRule="atLeast"/>
          <w:tblCellSpacing w:w="0" w:type="dxa"/>
        </w:trPr>
        <w:tc>
          <w:tcPr>
            <w:tcW w:w="2166" w:type="dxa"/>
            <w:tcBorders>
              <w:tl2br w:val="nil"/>
              <w:tr2bl w:val="nil"/>
            </w:tcBorders>
            <w:shd w:val="clear" w:color="auto" w:fill="FFFFFF"/>
            <w:noWrap w:val="0"/>
            <w:vAlign w:val="center"/>
          </w:tcPr>
          <w:p>
            <w:pPr>
              <w:spacing w:line="360" w:lineRule="exact"/>
              <w:ind w:firstLine="0" w:firstLineChars="0"/>
              <w:jc w:val="center"/>
              <w:rPr>
                <w:rFonts w:hint="eastAsia" w:ascii="黑体" w:hAnsi="黑体" w:eastAsia="黑体" w:cs="黑体"/>
                <w:b w:val="0"/>
                <w:bCs w:val="0"/>
                <w:color w:val="000000"/>
                <w:kern w:val="0"/>
                <w:sz w:val="24"/>
              </w:rPr>
            </w:pPr>
            <w:r>
              <w:rPr>
                <w:rFonts w:hint="eastAsia" w:ascii="黑体" w:hAnsi="黑体" w:eastAsia="黑体" w:cs="黑体"/>
                <w:b w:val="0"/>
                <w:bCs w:val="0"/>
                <w:color w:val="000000"/>
                <w:sz w:val="24"/>
              </w:rPr>
              <w:t>指标名称</w:t>
            </w:r>
          </w:p>
        </w:tc>
        <w:tc>
          <w:tcPr>
            <w:tcW w:w="1459" w:type="dxa"/>
            <w:tcBorders>
              <w:tl2br w:val="nil"/>
              <w:tr2bl w:val="nil"/>
            </w:tcBorders>
            <w:shd w:val="clear" w:color="auto" w:fill="FFFFFF"/>
            <w:noWrap w:val="0"/>
            <w:vAlign w:val="center"/>
          </w:tcPr>
          <w:p>
            <w:pPr>
              <w:spacing w:line="360" w:lineRule="exact"/>
              <w:ind w:firstLine="0" w:firstLineChars="0"/>
              <w:jc w:val="center"/>
              <w:rPr>
                <w:rFonts w:hint="eastAsia" w:ascii="黑体" w:hAnsi="黑体" w:eastAsia="黑体" w:cs="黑体"/>
                <w:b w:val="0"/>
                <w:bCs w:val="0"/>
                <w:color w:val="000000"/>
                <w:kern w:val="0"/>
                <w:sz w:val="24"/>
              </w:rPr>
            </w:pPr>
            <w:r>
              <w:rPr>
                <w:rFonts w:hint="eastAsia" w:ascii="黑体" w:hAnsi="黑体" w:eastAsia="黑体" w:cs="黑体"/>
                <w:b w:val="0"/>
                <w:bCs w:val="0"/>
                <w:color w:val="000000"/>
                <w:kern w:val="0"/>
                <w:sz w:val="24"/>
              </w:rPr>
              <w:t>2015年</w:t>
            </w:r>
          </w:p>
        </w:tc>
        <w:tc>
          <w:tcPr>
            <w:tcW w:w="1267" w:type="dxa"/>
            <w:tcBorders>
              <w:tl2br w:val="nil"/>
              <w:tr2bl w:val="nil"/>
            </w:tcBorders>
            <w:shd w:val="clear" w:color="auto" w:fill="FFFFFF"/>
            <w:noWrap w:val="0"/>
            <w:vAlign w:val="center"/>
          </w:tcPr>
          <w:p>
            <w:pPr>
              <w:spacing w:line="360" w:lineRule="exact"/>
              <w:ind w:firstLine="0" w:firstLineChars="0"/>
              <w:jc w:val="center"/>
              <w:rPr>
                <w:rFonts w:hint="eastAsia" w:ascii="黑体" w:hAnsi="黑体" w:eastAsia="黑体" w:cs="黑体"/>
                <w:b w:val="0"/>
                <w:bCs w:val="0"/>
                <w:color w:val="000000"/>
                <w:kern w:val="0"/>
                <w:sz w:val="24"/>
              </w:rPr>
            </w:pPr>
            <w:r>
              <w:rPr>
                <w:rFonts w:hint="eastAsia" w:ascii="黑体" w:hAnsi="黑体" w:eastAsia="黑体" w:cs="黑体"/>
                <w:b w:val="0"/>
                <w:bCs w:val="0"/>
                <w:color w:val="000000"/>
                <w:kern w:val="0"/>
                <w:sz w:val="24"/>
              </w:rPr>
              <w:t>2020年</w:t>
            </w:r>
          </w:p>
        </w:tc>
        <w:tc>
          <w:tcPr>
            <w:tcW w:w="1531" w:type="dxa"/>
            <w:tcBorders>
              <w:tl2br w:val="nil"/>
              <w:tr2bl w:val="nil"/>
            </w:tcBorders>
            <w:shd w:val="clear" w:color="auto" w:fill="FFFFFF"/>
            <w:noWrap w:val="0"/>
            <w:vAlign w:val="center"/>
          </w:tcPr>
          <w:p>
            <w:pPr>
              <w:spacing w:line="360" w:lineRule="exact"/>
              <w:ind w:firstLine="0" w:firstLineChars="0"/>
              <w:jc w:val="center"/>
              <w:rPr>
                <w:rFonts w:hint="eastAsia" w:ascii="黑体" w:hAnsi="黑体" w:eastAsia="黑体" w:cs="黑体"/>
                <w:b w:val="0"/>
                <w:bCs w:val="0"/>
                <w:color w:val="000000"/>
                <w:kern w:val="0"/>
                <w:sz w:val="24"/>
              </w:rPr>
            </w:pPr>
            <w:r>
              <w:rPr>
                <w:rFonts w:hint="eastAsia" w:ascii="黑体" w:hAnsi="黑体" w:eastAsia="黑体" w:cs="黑体"/>
                <w:b w:val="0"/>
                <w:bCs w:val="0"/>
                <w:color w:val="000000"/>
                <w:kern w:val="0"/>
                <w:sz w:val="24"/>
              </w:rPr>
              <w:t>十三五增减量</w:t>
            </w:r>
          </w:p>
        </w:tc>
        <w:tc>
          <w:tcPr>
            <w:tcW w:w="1455" w:type="dxa"/>
            <w:tcBorders>
              <w:tl2br w:val="nil"/>
              <w:tr2bl w:val="nil"/>
            </w:tcBorders>
            <w:shd w:val="clear" w:color="auto" w:fill="FFFFFF"/>
            <w:noWrap w:val="0"/>
            <w:vAlign w:val="center"/>
          </w:tcPr>
          <w:p>
            <w:pPr>
              <w:spacing w:line="360" w:lineRule="exact"/>
              <w:ind w:firstLine="0" w:firstLineChars="0"/>
              <w:jc w:val="center"/>
              <w:rPr>
                <w:rFonts w:hint="eastAsia" w:ascii="黑体" w:hAnsi="黑体" w:eastAsia="黑体" w:cs="黑体"/>
                <w:b w:val="0"/>
                <w:bCs w:val="0"/>
                <w:color w:val="000000"/>
                <w:kern w:val="0"/>
                <w:sz w:val="24"/>
              </w:rPr>
            </w:pPr>
            <w:r>
              <w:rPr>
                <w:rFonts w:hint="eastAsia" w:ascii="黑体" w:hAnsi="黑体" w:eastAsia="黑体" w:cs="黑体"/>
                <w:b w:val="0"/>
                <w:bCs w:val="0"/>
                <w:color w:val="000000"/>
                <w:kern w:val="0"/>
                <w:sz w:val="24"/>
              </w:rPr>
              <w:t>五年增长</w:t>
            </w:r>
          </w:p>
        </w:tc>
        <w:tc>
          <w:tcPr>
            <w:tcW w:w="1679" w:type="dxa"/>
            <w:tcBorders>
              <w:tl2br w:val="nil"/>
              <w:tr2bl w:val="nil"/>
            </w:tcBorders>
            <w:shd w:val="clear" w:color="auto" w:fill="FFFFFF"/>
            <w:noWrap w:val="0"/>
            <w:vAlign w:val="center"/>
          </w:tcPr>
          <w:p>
            <w:pPr>
              <w:spacing w:line="360" w:lineRule="exact"/>
              <w:ind w:firstLine="0" w:firstLineChars="0"/>
              <w:jc w:val="center"/>
              <w:rPr>
                <w:rFonts w:hint="eastAsia" w:ascii="黑体" w:hAnsi="黑体" w:eastAsia="黑体" w:cs="黑体"/>
                <w:b w:val="0"/>
                <w:bCs w:val="0"/>
                <w:color w:val="000000"/>
                <w:kern w:val="0"/>
                <w:sz w:val="24"/>
              </w:rPr>
            </w:pPr>
            <w:r>
              <w:rPr>
                <w:rFonts w:hint="eastAsia" w:ascii="黑体" w:hAnsi="黑体" w:eastAsia="黑体" w:cs="黑体"/>
                <w:b w:val="0"/>
                <w:bCs w:val="0"/>
                <w:color w:val="000000"/>
                <w:kern w:val="0"/>
                <w:sz w:val="24"/>
              </w:rPr>
              <w:t>年平均增长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1" w:hRule="atLeast"/>
          <w:tblCellSpacing w:w="0" w:type="dxa"/>
        </w:trPr>
        <w:tc>
          <w:tcPr>
            <w:tcW w:w="2166"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农林牧渔总产值</w:t>
            </w:r>
          </w:p>
        </w:tc>
        <w:tc>
          <w:tcPr>
            <w:tcW w:w="1459"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412.57</w:t>
            </w:r>
          </w:p>
        </w:tc>
        <w:tc>
          <w:tcPr>
            <w:tcW w:w="1267"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584.14</w:t>
            </w:r>
          </w:p>
        </w:tc>
        <w:tc>
          <w:tcPr>
            <w:tcW w:w="1531"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171.57</w:t>
            </w:r>
          </w:p>
        </w:tc>
        <w:tc>
          <w:tcPr>
            <w:tcW w:w="1455"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xml:space="preserve">41.6 </w:t>
            </w:r>
          </w:p>
        </w:tc>
        <w:tc>
          <w:tcPr>
            <w:tcW w:w="167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bCs/>
                <w:color w:val="000000"/>
                <w:sz w:val="24"/>
              </w:rPr>
              <w:t xml:space="preserve">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1" w:hRule="atLeast"/>
          <w:tblCellSpacing w:w="0" w:type="dxa"/>
        </w:trPr>
        <w:tc>
          <w:tcPr>
            <w:tcW w:w="2166"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蔬菜</w:t>
            </w:r>
          </w:p>
        </w:tc>
        <w:tc>
          <w:tcPr>
            <w:tcW w:w="1459"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29.69</w:t>
            </w:r>
          </w:p>
        </w:tc>
        <w:tc>
          <w:tcPr>
            <w:tcW w:w="1267"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38.92</w:t>
            </w:r>
          </w:p>
        </w:tc>
        <w:tc>
          <w:tcPr>
            <w:tcW w:w="1531"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9.23</w:t>
            </w:r>
          </w:p>
        </w:tc>
        <w:tc>
          <w:tcPr>
            <w:tcW w:w="1455"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xml:space="preserve">31.1 </w:t>
            </w:r>
          </w:p>
        </w:tc>
        <w:tc>
          <w:tcPr>
            <w:tcW w:w="167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bCs/>
                <w:color w:val="000000"/>
                <w:sz w:val="24"/>
              </w:rPr>
              <w:t xml:space="preserve">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2" w:hRule="atLeast"/>
          <w:tblCellSpacing w:w="0" w:type="dxa"/>
        </w:trPr>
        <w:tc>
          <w:tcPr>
            <w:tcW w:w="2166"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食用菌</w:t>
            </w:r>
          </w:p>
        </w:tc>
        <w:tc>
          <w:tcPr>
            <w:tcW w:w="145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51.55</w:t>
            </w:r>
          </w:p>
        </w:tc>
        <w:tc>
          <w:tcPr>
            <w:tcW w:w="1267"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67.87</w:t>
            </w:r>
          </w:p>
        </w:tc>
        <w:tc>
          <w:tcPr>
            <w:tcW w:w="1531"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16.32</w:t>
            </w:r>
          </w:p>
        </w:tc>
        <w:tc>
          <w:tcPr>
            <w:tcW w:w="1455"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xml:space="preserve">31.7 </w:t>
            </w:r>
          </w:p>
        </w:tc>
        <w:tc>
          <w:tcPr>
            <w:tcW w:w="167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bCs/>
                <w:color w:val="000000"/>
                <w:sz w:val="24"/>
              </w:rPr>
              <w:t xml:space="preserve">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1" w:hRule="atLeast"/>
          <w:tblCellSpacing w:w="0" w:type="dxa"/>
        </w:trPr>
        <w:tc>
          <w:tcPr>
            <w:tcW w:w="2166"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林竹花卉</w:t>
            </w:r>
          </w:p>
        </w:tc>
        <w:tc>
          <w:tcPr>
            <w:tcW w:w="1459"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25.68</w:t>
            </w:r>
          </w:p>
        </w:tc>
        <w:tc>
          <w:tcPr>
            <w:tcW w:w="1267"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30.3</w:t>
            </w:r>
          </w:p>
        </w:tc>
        <w:tc>
          <w:tcPr>
            <w:tcW w:w="1531"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4.62</w:t>
            </w:r>
          </w:p>
        </w:tc>
        <w:tc>
          <w:tcPr>
            <w:tcW w:w="1455"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xml:space="preserve">18.0 </w:t>
            </w:r>
          </w:p>
        </w:tc>
        <w:tc>
          <w:tcPr>
            <w:tcW w:w="167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bCs/>
                <w:color w:val="000000"/>
                <w:sz w:val="24"/>
              </w:rPr>
              <w:t xml:space="preserve">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1" w:hRule="atLeast"/>
          <w:tblCellSpacing w:w="0" w:type="dxa"/>
        </w:trPr>
        <w:tc>
          <w:tcPr>
            <w:tcW w:w="2166"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#花卉</w:t>
            </w:r>
          </w:p>
        </w:tc>
        <w:tc>
          <w:tcPr>
            <w:tcW w:w="1459"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3.33</w:t>
            </w:r>
          </w:p>
        </w:tc>
        <w:tc>
          <w:tcPr>
            <w:tcW w:w="1267"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4.46</w:t>
            </w:r>
          </w:p>
        </w:tc>
        <w:tc>
          <w:tcPr>
            <w:tcW w:w="1531"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1.13</w:t>
            </w:r>
          </w:p>
        </w:tc>
        <w:tc>
          <w:tcPr>
            <w:tcW w:w="1455"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xml:space="preserve">33.9 </w:t>
            </w:r>
          </w:p>
        </w:tc>
        <w:tc>
          <w:tcPr>
            <w:tcW w:w="167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bCs/>
                <w:color w:val="000000"/>
                <w:sz w:val="24"/>
              </w:rPr>
              <w:t xml:space="preserve">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1" w:hRule="atLeast"/>
          <w:tblCellSpacing w:w="0" w:type="dxa"/>
        </w:trPr>
        <w:tc>
          <w:tcPr>
            <w:tcW w:w="2166"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水果（含果用瓜）</w:t>
            </w:r>
          </w:p>
        </w:tc>
        <w:tc>
          <w:tcPr>
            <w:tcW w:w="1459"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31.04</w:t>
            </w:r>
          </w:p>
        </w:tc>
        <w:tc>
          <w:tcPr>
            <w:tcW w:w="1267"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40.52</w:t>
            </w:r>
          </w:p>
        </w:tc>
        <w:tc>
          <w:tcPr>
            <w:tcW w:w="1531"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9.48</w:t>
            </w:r>
          </w:p>
        </w:tc>
        <w:tc>
          <w:tcPr>
            <w:tcW w:w="1455"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xml:space="preserve">30.5 </w:t>
            </w:r>
          </w:p>
        </w:tc>
        <w:tc>
          <w:tcPr>
            <w:tcW w:w="167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bCs/>
                <w:color w:val="000000"/>
                <w:sz w:val="24"/>
              </w:rPr>
              <w:t xml:space="preserve">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1" w:hRule="atLeast"/>
          <w:tblCellSpacing w:w="0" w:type="dxa"/>
        </w:trPr>
        <w:tc>
          <w:tcPr>
            <w:tcW w:w="2166"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茶叶</w:t>
            </w:r>
          </w:p>
        </w:tc>
        <w:tc>
          <w:tcPr>
            <w:tcW w:w="1459"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32.8</w:t>
            </w:r>
          </w:p>
        </w:tc>
        <w:tc>
          <w:tcPr>
            <w:tcW w:w="1267"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41.95</w:t>
            </w:r>
          </w:p>
        </w:tc>
        <w:tc>
          <w:tcPr>
            <w:tcW w:w="1531"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9.15</w:t>
            </w:r>
          </w:p>
        </w:tc>
        <w:tc>
          <w:tcPr>
            <w:tcW w:w="1455"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xml:space="preserve">27.9 </w:t>
            </w:r>
          </w:p>
        </w:tc>
        <w:tc>
          <w:tcPr>
            <w:tcW w:w="167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bCs/>
                <w:color w:val="000000"/>
                <w:sz w:val="24"/>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1" w:hRule="atLeast"/>
          <w:tblCellSpacing w:w="0" w:type="dxa"/>
        </w:trPr>
        <w:tc>
          <w:tcPr>
            <w:tcW w:w="2166"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中草药材</w:t>
            </w:r>
          </w:p>
        </w:tc>
        <w:tc>
          <w:tcPr>
            <w:tcW w:w="1459"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7.67</w:t>
            </w:r>
          </w:p>
        </w:tc>
        <w:tc>
          <w:tcPr>
            <w:tcW w:w="1267"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13.18</w:t>
            </w:r>
          </w:p>
        </w:tc>
        <w:tc>
          <w:tcPr>
            <w:tcW w:w="1531"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5.51</w:t>
            </w:r>
          </w:p>
        </w:tc>
        <w:tc>
          <w:tcPr>
            <w:tcW w:w="1455"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xml:space="preserve">71.8 </w:t>
            </w:r>
          </w:p>
        </w:tc>
        <w:tc>
          <w:tcPr>
            <w:tcW w:w="167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bCs/>
                <w:color w:val="000000"/>
                <w:sz w:val="24"/>
              </w:rPr>
              <w:t xml:space="preserve">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1" w:hRule="atLeast"/>
          <w:tblCellSpacing w:w="0" w:type="dxa"/>
        </w:trPr>
        <w:tc>
          <w:tcPr>
            <w:tcW w:w="2166"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牧业产值</w:t>
            </w:r>
          </w:p>
        </w:tc>
        <w:tc>
          <w:tcPr>
            <w:tcW w:w="1459"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27.33</w:t>
            </w:r>
          </w:p>
        </w:tc>
        <w:tc>
          <w:tcPr>
            <w:tcW w:w="1267"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45.72</w:t>
            </w:r>
          </w:p>
        </w:tc>
        <w:tc>
          <w:tcPr>
            <w:tcW w:w="1531"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18.39</w:t>
            </w:r>
          </w:p>
        </w:tc>
        <w:tc>
          <w:tcPr>
            <w:tcW w:w="1455"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xml:space="preserve">67.3 </w:t>
            </w:r>
          </w:p>
        </w:tc>
        <w:tc>
          <w:tcPr>
            <w:tcW w:w="167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bCs/>
                <w:color w:val="000000"/>
                <w:sz w:val="24"/>
              </w:rPr>
              <w:t xml:space="preserve">10.8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1" w:hRule="atLeast"/>
          <w:tblCellSpacing w:w="0" w:type="dxa"/>
        </w:trPr>
        <w:tc>
          <w:tcPr>
            <w:tcW w:w="2166"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渔业产值</w:t>
            </w:r>
          </w:p>
        </w:tc>
        <w:tc>
          <w:tcPr>
            <w:tcW w:w="1459"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173.15</w:t>
            </w:r>
          </w:p>
        </w:tc>
        <w:tc>
          <w:tcPr>
            <w:tcW w:w="1267"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266.17</w:t>
            </w:r>
          </w:p>
        </w:tc>
        <w:tc>
          <w:tcPr>
            <w:tcW w:w="1531"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93.02</w:t>
            </w:r>
          </w:p>
        </w:tc>
        <w:tc>
          <w:tcPr>
            <w:tcW w:w="1455"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xml:space="preserve">53.7 </w:t>
            </w:r>
          </w:p>
        </w:tc>
        <w:tc>
          <w:tcPr>
            <w:tcW w:w="167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bCs/>
                <w:color w:val="000000"/>
                <w:sz w:val="24"/>
              </w:rPr>
              <w:t xml:space="preserve">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7" w:hRule="atLeast"/>
          <w:tblCellSpacing w:w="0" w:type="dxa"/>
        </w:trPr>
        <w:tc>
          <w:tcPr>
            <w:tcW w:w="2166"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八大产业合计</w:t>
            </w:r>
          </w:p>
        </w:tc>
        <w:tc>
          <w:tcPr>
            <w:tcW w:w="145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378.91</w:t>
            </w:r>
          </w:p>
        </w:tc>
        <w:tc>
          <w:tcPr>
            <w:tcW w:w="1267"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544.63</w:t>
            </w:r>
          </w:p>
        </w:tc>
        <w:tc>
          <w:tcPr>
            <w:tcW w:w="1531"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165.72</w:t>
            </w:r>
          </w:p>
        </w:tc>
        <w:tc>
          <w:tcPr>
            <w:tcW w:w="1455"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xml:space="preserve">43.7 </w:t>
            </w:r>
          </w:p>
        </w:tc>
        <w:tc>
          <w:tcPr>
            <w:tcW w:w="167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bCs/>
                <w:color w:val="000000"/>
                <w:sz w:val="24"/>
              </w:rPr>
              <w:t xml:space="preserve">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7" w:hRule="atLeast"/>
          <w:tblCellSpacing w:w="0" w:type="dxa"/>
        </w:trPr>
        <w:tc>
          <w:tcPr>
            <w:tcW w:w="2166"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占比（%）</w:t>
            </w:r>
          </w:p>
        </w:tc>
        <w:tc>
          <w:tcPr>
            <w:tcW w:w="1459"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xml:space="preserve">91.8 </w:t>
            </w:r>
          </w:p>
        </w:tc>
        <w:tc>
          <w:tcPr>
            <w:tcW w:w="1267"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xml:space="preserve">93.2 </w:t>
            </w:r>
          </w:p>
        </w:tc>
        <w:tc>
          <w:tcPr>
            <w:tcW w:w="1531"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w:t>
            </w:r>
          </w:p>
        </w:tc>
        <w:tc>
          <w:tcPr>
            <w:tcW w:w="1455" w:type="dxa"/>
            <w:tcBorders>
              <w:tl2br w:val="nil"/>
              <w:tr2bl w:val="nil"/>
            </w:tcBorders>
            <w:shd w:val="clear" w:color="auto" w:fill="FFFFFF"/>
            <w:noWrap/>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w:t>
            </w:r>
          </w:p>
        </w:tc>
        <w:tc>
          <w:tcPr>
            <w:tcW w:w="1679" w:type="dxa"/>
            <w:tcBorders>
              <w:tl2br w:val="nil"/>
              <w:tr2bl w:val="nil"/>
            </w:tcBorders>
            <w:shd w:val="clear" w:color="auto" w:fill="FFFFFF"/>
            <w:noWrap w:val="0"/>
            <w:vAlign w:val="center"/>
          </w:tcPr>
          <w:p>
            <w:pPr>
              <w:spacing w:line="360" w:lineRule="exact"/>
              <w:ind w:firstLine="0" w:firstLineChars="0"/>
              <w:jc w:val="center"/>
              <w:rPr>
                <w:rFonts w:ascii="楷体_GB2312" w:hAnsi="楷体_GB2312" w:eastAsia="楷体_GB2312" w:cs="楷体_GB2312"/>
                <w:color w:val="000000"/>
                <w:kern w:val="0"/>
                <w:sz w:val="24"/>
              </w:rPr>
            </w:pPr>
            <w:r>
              <w:rPr>
                <w:rFonts w:hint="eastAsia" w:ascii="楷体_GB2312" w:eastAsia="楷体_GB2312"/>
                <w:color w:val="000000"/>
                <w:sz w:val="24"/>
              </w:rPr>
              <w:t>　</w:t>
            </w:r>
          </w:p>
        </w:tc>
      </w:tr>
    </w:tbl>
    <w:p>
      <w:pPr>
        <w:pStyle w:val="5"/>
        <w:ind w:firstLine="0" w:firstLineChars="0"/>
        <w:jc w:val="center"/>
        <w:rPr>
          <w:rFonts w:ascii="仿宋_GB2312" w:hAnsi="仿宋_GB2312" w:cs="仿宋_GB2312"/>
          <w:color w:val="000000"/>
          <w:sz w:val="30"/>
          <w:szCs w:val="30"/>
        </w:rPr>
      </w:pPr>
      <w:bookmarkStart w:id="94" w:name="_Toc8146"/>
      <w:bookmarkStart w:id="95" w:name="_Toc12342"/>
      <w:bookmarkStart w:id="96" w:name="_Toc6614"/>
      <w:bookmarkStart w:id="97" w:name="_Toc27930"/>
      <w:bookmarkStart w:id="98" w:name="_Toc26131"/>
      <w:bookmarkStart w:id="99" w:name="_Toc5236"/>
      <w:bookmarkStart w:id="100" w:name="_Toc31914"/>
      <w:bookmarkStart w:id="101" w:name="_Toc904"/>
      <w:r>
        <w:rPr>
          <w:rFonts w:hint="eastAsia" w:ascii="方正小标宋_GBK" w:hAnsi="方正小标宋_GBK" w:eastAsia="方正小标宋_GBK" w:cs="方正小标宋_GBK"/>
          <w:b w:val="0"/>
          <w:bCs/>
          <w:color w:val="000000"/>
          <w:sz w:val="30"/>
          <w:szCs w:val="30"/>
        </w:rPr>
        <w:t>专栏2：“十三五”期间宁德市八大特色农产品产量及增速</w:t>
      </w:r>
      <w:bookmarkEnd w:id="94"/>
      <w:bookmarkEnd w:id="95"/>
      <w:bookmarkEnd w:id="96"/>
      <w:bookmarkEnd w:id="97"/>
      <w:bookmarkEnd w:id="98"/>
      <w:bookmarkEnd w:id="99"/>
      <w:bookmarkEnd w:id="100"/>
      <w:bookmarkEnd w:id="101"/>
    </w:p>
    <w:p>
      <w:pPr>
        <w:spacing w:line="240" w:lineRule="auto"/>
        <w:ind w:firstLine="0" w:firstLineChars="0"/>
        <w:jc w:val="right"/>
        <w:rPr>
          <w:rFonts w:ascii="仿宋_GB2312" w:hAnsi="仿宋_GB2312" w:cs="仿宋_GB2312"/>
          <w:color w:val="000000"/>
          <w:sz w:val="24"/>
        </w:rPr>
      </w:pPr>
      <w:r>
        <w:rPr>
          <w:rFonts w:hint="eastAsia" w:ascii="仿宋_GB2312" w:hAnsi="仿宋_GB2312" w:cs="仿宋_GB2312"/>
          <w:color w:val="000000"/>
          <w:sz w:val="24"/>
        </w:rPr>
        <w:t>单位：万吨、%</w:t>
      </w:r>
    </w:p>
    <w:tbl>
      <w:tblPr>
        <w:tblStyle w:val="16"/>
        <w:tblW w:w="5161" w:type="pct"/>
        <w:tblCellSpacing w:w="0" w:type="dxa"/>
        <w:tblInd w:w="-3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832"/>
        <w:gridCol w:w="1128"/>
        <w:gridCol w:w="1374"/>
        <w:gridCol w:w="1658"/>
        <w:gridCol w:w="1233"/>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7" w:hRule="atLeast"/>
          <w:tblCellSpacing w:w="0" w:type="dxa"/>
        </w:trPr>
        <w:tc>
          <w:tcPr>
            <w:tcW w:w="1821" w:type="dxa"/>
            <w:shd w:val="clear" w:color="auto" w:fill="FFFFFF"/>
            <w:noWrap w:val="0"/>
            <w:vAlign w:val="center"/>
          </w:tcPr>
          <w:p>
            <w:pPr>
              <w:spacing w:line="240" w:lineRule="auto"/>
              <w:ind w:firstLine="0" w:firstLineChars="0"/>
              <w:jc w:val="center"/>
              <w:rPr>
                <w:rFonts w:hint="eastAsia" w:ascii="黑体" w:hAnsi="黑体" w:eastAsia="黑体" w:cs="黑体"/>
                <w:b w:val="0"/>
                <w:bCs w:val="0"/>
                <w:color w:val="000000"/>
                <w:kern w:val="0"/>
                <w:sz w:val="24"/>
              </w:rPr>
            </w:pPr>
            <w:r>
              <w:rPr>
                <w:rFonts w:hint="eastAsia" w:ascii="黑体" w:hAnsi="黑体" w:eastAsia="黑体" w:cs="黑体"/>
                <w:b w:val="0"/>
                <w:bCs w:val="0"/>
                <w:color w:val="000000"/>
                <w:kern w:val="0"/>
                <w:sz w:val="24"/>
              </w:rPr>
              <w:t>产品名称</w:t>
            </w:r>
          </w:p>
        </w:tc>
        <w:tc>
          <w:tcPr>
            <w:tcW w:w="1122" w:type="dxa"/>
            <w:shd w:val="clear" w:color="auto" w:fill="FFFFFF"/>
            <w:noWrap w:val="0"/>
            <w:vAlign w:val="center"/>
          </w:tcPr>
          <w:p>
            <w:pPr>
              <w:spacing w:line="240" w:lineRule="auto"/>
              <w:ind w:firstLine="0" w:firstLineChars="0"/>
              <w:jc w:val="center"/>
              <w:rPr>
                <w:rFonts w:hint="eastAsia" w:ascii="黑体" w:hAnsi="黑体" w:eastAsia="黑体" w:cs="黑体"/>
                <w:b w:val="0"/>
                <w:bCs w:val="0"/>
                <w:color w:val="000000"/>
                <w:kern w:val="0"/>
                <w:sz w:val="24"/>
              </w:rPr>
            </w:pPr>
            <w:r>
              <w:rPr>
                <w:rFonts w:hint="eastAsia" w:ascii="黑体" w:hAnsi="黑体" w:eastAsia="黑体" w:cs="黑体"/>
                <w:b w:val="0"/>
                <w:bCs w:val="0"/>
                <w:color w:val="000000"/>
                <w:kern w:val="0"/>
                <w:sz w:val="24"/>
              </w:rPr>
              <w:t>2015年</w:t>
            </w:r>
          </w:p>
        </w:tc>
        <w:tc>
          <w:tcPr>
            <w:tcW w:w="1366" w:type="dxa"/>
            <w:shd w:val="clear" w:color="auto" w:fill="FFFFFF"/>
            <w:noWrap w:val="0"/>
            <w:vAlign w:val="center"/>
          </w:tcPr>
          <w:p>
            <w:pPr>
              <w:spacing w:line="240" w:lineRule="auto"/>
              <w:ind w:firstLine="0" w:firstLineChars="0"/>
              <w:jc w:val="center"/>
              <w:rPr>
                <w:rFonts w:hint="eastAsia" w:ascii="黑体" w:hAnsi="黑体" w:eastAsia="黑体" w:cs="黑体"/>
                <w:b w:val="0"/>
                <w:bCs w:val="0"/>
                <w:color w:val="000000"/>
                <w:kern w:val="0"/>
                <w:sz w:val="24"/>
              </w:rPr>
            </w:pPr>
            <w:r>
              <w:rPr>
                <w:rFonts w:hint="eastAsia" w:ascii="黑体" w:hAnsi="黑体" w:eastAsia="黑体" w:cs="黑体"/>
                <w:b w:val="0"/>
                <w:bCs w:val="0"/>
                <w:color w:val="000000"/>
                <w:kern w:val="0"/>
                <w:sz w:val="24"/>
              </w:rPr>
              <w:t>2020年</w:t>
            </w:r>
          </w:p>
        </w:tc>
        <w:tc>
          <w:tcPr>
            <w:tcW w:w="1647" w:type="dxa"/>
            <w:shd w:val="clear" w:color="auto" w:fill="FFFFFF"/>
            <w:noWrap w:val="0"/>
            <w:vAlign w:val="center"/>
          </w:tcPr>
          <w:p>
            <w:pPr>
              <w:spacing w:line="240" w:lineRule="auto"/>
              <w:ind w:firstLine="0" w:firstLineChars="0"/>
              <w:jc w:val="center"/>
              <w:rPr>
                <w:rFonts w:hint="eastAsia" w:ascii="黑体" w:hAnsi="黑体" w:eastAsia="黑体" w:cs="黑体"/>
                <w:b w:val="0"/>
                <w:bCs w:val="0"/>
                <w:color w:val="000000"/>
                <w:kern w:val="0"/>
                <w:sz w:val="24"/>
              </w:rPr>
            </w:pPr>
            <w:r>
              <w:rPr>
                <w:rFonts w:hint="eastAsia" w:ascii="黑体" w:hAnsi="黑体" w:eastAsia="黑体" w:cs="黑体"/>
                <w:b w:val="0"/>
                <w:bCs w:val="0"/>
                <w:color w:val="000000"/>
                <w:kern w:val="0"/>
                <w:sz w:val="24"/>
              </w:rPr>
              <w:t>十三五增减量</w:t>
            </w:r>
          </w:p>
        </w:tc>
        <w:tc>
          <w:tcPr>
            <w:tcW w:w="1225" w:type="dxa"/>
            <w:shd w:val="clear" w:color="auto" w:fill="FFFFFF"/>
            <w:noWrap w:val="0"/>
            <w:vAlign w:val="center"/>
          </w:tcPr>
          <w:p>
            <w:pPr>
              <w:spacing w:line="240" w:lineRule="auto"/>
              <w:ind w:firstLine="0" w:firstLineChars="0"/>
              <w:jc w:val="center"/>
              <w:rPr>
                <w:rFonts w:hint="eastAsia" w:ascii="黑体" w:hAnsi="黑体" w:eastAsia="黑体" w:cs="黑体"/>
                <w:b w:val="0"/>
                <w:bCs w:val="0"/>
                <w:color w:val="000000"/>
                <w:kern w:val="0"/>
                <w:sz w:val="24"/>
              </w:rPr>
            </w:pPr>
            <w:r>
              <w:rPr>
                <w:rFonts w:hint="eastAsia" w:ascii="黑体" w:hAnsi="黑体" w:eastAsia="黑体" w:cs="黑体"/>
                <w:b w:val="0"/>
                <w:bCs w:val="0"/>
                <w:color w:val="000000"/>
                <w:kern w:val="0"/>
                <w:sz w:val="24"/>
              </w:rPr>
              <w:t>五年增长</w:t>
            </w:r>
          </w:p>
        </w:tc>
        <w:tc>
          <w:tcPr>
            <w:tcW w:w="1969" w:type="dxa"/>
            <w:shd w:val="clear" w:color="auto" w:fill="FFFFFF"/>
            <w:noWrap w:val="0"/>
            <w:vAlign w:val="center"/>
          </w:tcPr>
          <w:p>
            <w:pPr>
              <w:spacing w:line="240" w:lineRule="auto"/>
              <w:ind w:firstLine="0" w:firstLineChars="0"/>
              <w:jc w:val="center"/>
              <w:rPr>
                <w:rFonts w:hint="eastAsia" w:ascii="黑体" w:hAnsi="黑体" w:eastAsia="黑体" w:cs="黑体"/>
                <w:b w:val="0"/>
                <w:bCs w:val="0"/>
                <w:color w:val="000000"/>
                <w:kern w:val="0"/>
                <w:sz w:val="24"/>
              </w:rPr>
            </w:pPr>
            <w:r>
              <w:rPr>
                <w:rFonts w:hint="eastAsia" w:ascii="黑体" w:hAnsi="黑体" w:eastAsia="黑体" w:cs="黑体"/>
                <w:b w:val="0"/>
                <w:bCs w:val="0"/>
                <w:color w:val="000000"/>
                <w:kern w:val="0"/>
                <w:sz w:val="24"/>
              </w:rPr>
              <w:t>年平均增长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9" w:hRule="atLeast"/>
          <w:tblCellSpacing w:w="0" w:type="dxa"/>
        </w:trPr>
        <w:tc>
          <w:tcPr>
            <w:tcW w:w="1821"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蔬菜</w:t>
            </w:r>
          </w:p>
        </w:tc>
        <w:tc>
          <w:tcPr>
            <w:tcW w:w="1122"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86.61</w:t>
            </w:r>
          </w:p>
        </w:tc>
        <w:tc>
          <w:tcPr>
            <w:tcW w:w="1366"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101.18</w:t>
            </w:r>
          </w:p>
        </w:tc>
        <w:tc>
          <w:tcPr>
            <w:tcW w:w="1647"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14.57</w:t>
            </w:r>
          </w:p>
        </w:tc>
        <w:tc>
          <w:tcPr>
            <w:tcW w:w="1225"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 xml:space="preserve">16.8 </w:t>
            </w:r>
          </w:p>
        </w:tc>
        <w:tc>
          <w:tcPr>
            <w:tcW w:w="1969"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 xml:space="preserve">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9" w:hRule="atLeast"/>
          <w:tblCellSpacing w:w="0" w:type="dxa"/>
        </w:trPr>
        <w:tc>
          <w:tcPr>
            <w:tcW w:w="1821"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食用菌</w:t>
            </w:r>
          </w:p>
        </w:tc>
        <w:tc>
          <w:tcPr>
            <w:tcW w:w="1122"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17.85</w:t>
            </w:r>
          </w:p>
        </w:tc>
        <w:tc>
          <w:tcPr>
            <w:tcW w:w="1366"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20.56</w:t>
            </w:r>
          </w:p>
        </w:tc>
        <w:tc>
          <w:tcPr>
            <w:tcW w:w="1647"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2.71</w:t>
            </w:r>
          </w:p>
        </w:tc>
        <w:tc>
          <w:tcPr>
            <w:tcW w:w="1225"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 xml:space="preserve">13.2 </w:t>
            </w:r>
          </w:p>
        </w:tc>
        <w:tc>
          <w:tcPr>
            <w:tcW w:w="1969"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 xml:space="preserve">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9" w:hRule="atLeast"/>
          <w:tblCellSpacing w:w="0" w:type="dxa"/>
        </w:trPr>
        <w:tc>
          <w:tcPr>
            <w:tcW w:w="1821"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花卉</w:t>
            </w:r>
          </w:p>
        </w:tc>
        <w:tc>
          <w:tcPr>
            <w:tcW w:w="1122"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2.17</w:t>
            </w:r>
          </w:p>
        </w:tc>
        <w:tc>
          <w:tcPr>
            <w:tcW w:w="1366"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2.57</w:t>
            </w:r>
          </w:p>
        </w:tc>
        <w:tc>
          <w:tcPr>
            <w:tcW w:w="1647"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0.4</w:t>
            </w:r>
          </w:p>
        </w:tc>
        <w:tc>
          <w:tcPr>
            <w:tcW w:w="1225"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 xml:space="preserve">15.6 </w:t>
            </w:r>
          </w:p>
        </w:tc>
        <w:tc>
          <w:tcPr>
            <w:tcW w:w="1969"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 xml:space="preserve">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9" w:hRule="atLeast"/>
          <w:tblCellSpacing w:w="0" w:type="dxa"/>
        </w:trPr>
        <w:tc>
          <w:tcPr>
            <w:tcW w:w="1821"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水果</w:t>
            </w:r>
          </w:p>
        </w:tc>
        <w:tc>
          <w:tcPr>
            <w:tcW w:w="1122"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43.56</w:t>
            </w:r>
          </w:p>
        </w:tc>
        <w:tc>
          <w:tcPr>
            <w:tcW w:w="1366"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53.76</w:t>
            </w:r>
          </w:p>
        </w:tc>
        <w:tc>
          <w:tcPr>
            <w:tcW w:w="1647"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10.2</w:t>
            </w:r>
          </w:p>
        </w:tc>
        <w:tc>
          <w:tcPr>
            <w:tcW w:w="1225"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 xml:space="preserve">19.0 </w:t>
            </w:r>
          </w:p>
        </w:tc>
        <w:tc>
          <w:tcPr>
            <w:tcW w:w="1969"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 xml:space="preserve">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9" w:hRule="atLeast"/>
          <w:tblCellSpacing w:w="0" w:type="dxa"/>
        </w:trPr>
        <w:tc>
          <w:tcPr>
            <w:tcW w:w="1821"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茶叶</w:t>
            </w:r>
          </w:p>
        </w:tc>
        <w:tc>
          <w:tcPr>
            <w:tcW w:w="1122"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8.45</w:t>
            </w:r>
          </w:p>
        </w:tc>
        <w:tc>
          <w:tcPr>
            <w:tcW w:w="1366"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11.04</w:t>
            </w:r>
          </w:p>
        </w:tc>
        <w:tc>
          <w:tcPr>
            <w:tcW w:w="1647"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2.59</w:t>
            </w:r>
          </w:p>
        </w:tc>
        <w:tc>
          <w:tcPr>
            <w:tcW w:w="1225"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 xml:space="preserve">23.5 </w:t>
            </w:r>
          </w:p>
        </w:tc>
        <w:tc>
          <w:tcPr>
            <w:tcW w:w="1969"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 xml:space="preserve">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9" w:hRule="atLeast"/>
          <w:tblCellSpacing w:w="0" w:type="dxa"/>
        </w:trPr>
        <w:tc>
          <w:tcPr>
            <w:tcW w:w="1821"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#绿茶</w:t>
            </w:r>
          </w:p>
        </w:tc>
        <w:tc>
          <w:tcPr>
            <w:tcW w:w="1122"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5.07</w:t>
            </w:r>
          </w:p>
        </w:tc>
        <w:tc>
          <w:tcPr>
            <w:tcW w:w="1366"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5.08</w:t>
            </w:r>
          </w:p>
        </w:tc>
        <w:tc>
          <w:tcPr>
            <w:tcW w:w="1647"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0.01</w:t>
            </w:r>
          </w:p>
        </w:tc>
        <w:tc>
          <w:tcPr>
            <w:tcW w:w="1225"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 xml:space="preserve">0.2 </w:t>
            </w:r>
          </w:p>
        </w:tc>
        <w:tc>
          <w:tcPr>
            <w:tcW w:w="1969"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9" w:hRule="atLeast"/>
          <w:tblCellSpacing w:w="0" w:type="dxa"/>
        </w:trPr>
        <w:tc>
          <w:tcPr>
            <w:tcW w:w="1821"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#红茶</w:t>
            </w:r>
          </w:p>
        </w:tc>
        <w:tc>
          <w:tcPr>
            <w:tcW w:w="1122"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2</w:t>
            </w:r>
          </w:p>
        </w:tc>
        <w:tc>
          <w:tcPr>
            <w:tcW w:w="1366"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2.46</w:t>
            </w:r>
          </w:p>
        </w:tc>
        <w:tc>
          <w:tcPr>
            <w:tcW w:w="1647"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0.46</w:t>
            </w:r>
          </w:p>
        </w:tc>
        <w:tc>
          <w:tcPr>
            <w:tcW w:w="1225"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 xml:space="preserve">18.7 </w:t>
            </w:r>
          </w:p>
        </w:tc>
        <w:tc>
          <w:tcPr>
            <w:tcW w:w="1969"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 xml:space="preserve">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9" w:hRule="atLeast"/>
          <w:tblCellSpacing w:w="0" w:type="dxa"/>
        </w:trPr>
        <w:tc>
          <w:tcPr>
            <w:tcW w:w="1821"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#白茶</w:t>
            </w:r>
          </w:p>
        </w:tc>
        <w:tc>
          <w:tcPr>
            <w:tcW w:w="1122"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1.12</w:t>
            </w:r>
          </w:p>
        </w:tc>
        <w:tc>
          <w:tcPr>
            <w:tcW w:w="1366"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3.22</w:t>
            </w:r>
          </w:p>
        </w:tc>
        <w:tc>
          <w:tcPr>
            <w:tcW w:w="1647"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2.1</w:t>
            </w:r>
          </w:p>
        </w:tc>
        <w:tc>
          <w:tcPr>
            <w:tcW w:w="1225"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 xml:space="preserve">65.2 </w:t>
            </w:r>
          </w:p>
        </w:tc>
        <w:tc>
          <w:tcPr>
            <w:tcW w:w="1969"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 xml:space="preserve">23.5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9" w:hRule="atLeast"/>
          <w:tblCellSpacing w:w="0" w:type="dxa"/>
        </w:trPr>
        <w:tc>
          <w:tcPr>
            <w:tcW w:w="1821"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中草药材</w:t>
            </w:r>
          </w:p>
        </w:tc>
        <w:tc>
          <w:tcPr>
            <w:tcW w:w="1122"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3.93</w:t>
            </w:r>
          </w:p>
        </w:tc>
        <w:tc>
          <w:tcPr>
            <w:tcW w:w="1366"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5.6</w:t>
            </w:r>
          </w:p>
        </w:tc>
        <w:tc>
          <w:tcPr>
            <w:tcW w:w="1647"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1.67</w:t>
            </w:r>
          </w:p>
        </w:tc>
        <w:tc>
          <w:tcPr>
            <w:tcW w:w="1225"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 xml:space="preserve">29.8 </w:t>
            </w:r>
          </w:p>
        </w:tc>
        <w:tc>
          <w:tcPr>
            <w:tcW w:w="1969"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 xml:space="preserve">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9" w:hRule="atLeast"/>
          <w:tblCellSpacing w:w="0" w:type="dxa"/>
        </w:trPr>
        <w:tc>
          <w:tcPr>
            <w:tcW w:w="1821"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肉类总产量</w:t>
            </w:r>
          </w:p>
        </w:tc>
        <w:tc>
          <w:tcPr>
            <w:tcW w:w="1122"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10.03</w:t>
            </w:r>
          </w:p>
        </w:tc>
        <w:tc>
          <w:tcPr>
            <w:tcW w:w="1366"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8.06</w:t>
            </w:r>
          </w:p>
        </w:tc>
        <w:tc>
          <w:tcPr>
            <w:tcW w:w="1647"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-1.97</w:t>
            </w:r>
          </w:p>
        </w:tc>
        <w:tc>
          <w:tcPr>
            <w:tcW w:w="1225"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 xml:space="preserve">-24.4 </w:t>
            </w:r>
          </w:p>
        </w:tc>
        <w:tc>
          <w:tcPr>
            <w:tcW w:w="1969"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 xml:space="preserve">-4.3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9" w:hRule="atLeast"/>
          <w:tblCellSpacing w:w="0" w:type="dxa"/>
        </w:trPr>
        <w:tc>
          <w:tcPr>
            <w:tcW w:w="1821"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#猪肉</w:t>
            </w:r>
          </w:p>
        </w:tc>
        <w:tc>
          <w:tcPr>
            <w:tcW w:w="1122"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8.69</w:t>
            </w:r>
          </w:p>
        </w:tc>
        <w:tc>
          <w:tcPr>
            <w:tcW w:w="1366"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6.3</w:t>
            </w:r>
          </w:p>
        </w:tc>
        <w:tc>
          <w:tcPr>
            <w:tcW w:w="1647"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-2.39</w:t>
            </w:r>
          </w:p>
        </w:tc>
        <w:tc>
          <w:tcPr>
            <w:tcW w:w="1225"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 xml:space="preserve">-37.9 </w:t>
            </w:r>
          </w:p>
        </w:tc>
        <w:tc>
          <w:tcPr>
            <w:tcW w:w="1969"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 xml:space="preserve">-6.2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tblCellSpacing w:w="0" w:type="dxa"/>
        </w:trPr>
        <w:tc>
          <w:tcPr>
            <w:tcW w:w="1821"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渔业</w:t>
            </w:r>
          </w:p>
        </w:tc>
        <w:tc>
          <w:tcPr>
            <w:tcW w:w="1122" w:type="dxa"/>
            <w:shd w:val="clear" w:color="auto" w:fill="FFFFFF"/>
            <w:noWrap w:val="0"/>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81.15</w:t>
            </w:r>
          </w:p>
        </w:tc>
        <w:tc>
          <w:tcPr>
            <w:tcW w:w="1366"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103.49</w:t>
            </w:r>
          </w:p>
        </w:tc>
        <w:tc>
          <w:tcPr>
            <w:tcW w:w="1647"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22.34</w:t>
            </w:r>
          </w:p>
        </w:tc>
        <w:tc>
          <w:tcPr>
            <w:tcW w:w="1225"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 xml:space="preserve">21.6 </w:t>
            </w:r>
          </w:p>
        </w:tc>
        <w:tc>
          <w:tcPr>
            <w:tcW w:w="1969" w:type="dxa"/>
            <w:shd w:val="clear" w:color="auto" w:fill="FFFFFF"/>
            <w:noWrap/>
            <w:vAlign w:val="center"/>
          </w:tcPr>
          <w:p>
            <w:pPr>
              <w:spacing w:line="240" w:lineRule="auto"/>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 xml:space="preserve">5.0 </w:t>
            </w:r>
          </w:p>
        </w:tc>
      </w:tr>
    </w:tbl>
    <w:p>
      <w:pPr>
        <w:ind w:firstLine="600"/>
        <w:rPr>
          <w:color w:val="000000"/>
          <w:sz w:val="30"/>
          <w:szCs w:val="30"/>
        </w:rPr>
      </w:pPr>
      <w:bookmarkStart w:id="102" w:name="_Toc10927"/>
      <w:bookmarkStart w:id="103" w:name="_Toc26438"/>
      <w:bookmarkStart w:id="104" w:name="_Toc24466"/>
      <w:bookmarkStart w:id="105" w:name="_Toc24529"/>
      <w:bookmarkStart w:id="106" w:name="_Toc19967"/>
      <w:bookmarkStart w:id="107" w:name="_Toc27266"/>
      <w:bookmarkStart w:id="108" w:name="_Toc18946"/>
    </w:p>
    <w:p>
      <w:pPr>
        <w:pStyle w:val="4"/>
        <w:adjustRightInd w:val="0"/>
        <w:snapToGrid w:val="0"/>
        <w:spacing w:line="596" w:lineRule="exact"/>
        <w:rPr>
          <w:rFonts w:ascii="楷体_GB2312" w:hAnsi="楷体_GB2312" w:eastAsia="楷体_GB2312" w:cs="楷体_GB2312"/>
          <w:color w:val="000000"/>
          <w:szCs w:val="32"/>
        </w:rPr>
      </w:pPr>
      <w:bookmarkStart w:id="109" w:name="_Toc24861"/>
      <w:r>
        <w:rPr>
          <w:rFonts w:hint="eastAsia" w:ascii="楷体_GB2312" w:hAnsi="楷体_GB2312" w:eastAsia="楷体_GB2312" w:cs="楷体_GB2312"/>
          <w:color w:val="000000"/>
          <w:szCs w:val="32"/>
        </w:rPr>
        <w:t>第二节　发展机遇</w:t>
      </w:r>
      <w:bookmarkEnd w:id="83"/>
      <w:bookmarkEnd w:id="84"/>
      <w:bookmarkEnd w:id="85"/>
      <w:bookmarkEnd w:id="102"/>
      <w:bookmarkEnd w:id="103"/>
      <w:bookmarkEnd w:id="104"/>
      <w:bookmarkEnd w:id="105"/>
      <w:bookmarkEnd w:id="106"/>
      <w:bookmarkEnd w:id="107"/>
      <w:bookmarkEnd w:id="108"/>
      <w:bookmarkEnd w:id="109"/>
    </w:p>
    <w:p>
      <w:pPr>
        <w:adjustRightInd w:val="0"/>
        <w:snapToGrid w:val="0"/>
        <w:spacing w:line="596" w:lineRule="exact"/>
        <w:ind w:firstLine="600"/>
        <w:rPr>
          <w:color w:val="000000"/>
          <w:sz w:val="30"/>
          <w:szCs w:val="30"/>
        </w:rPr>
      </w:pPr>
    </w:p>
    <w:p>
      <w:pPr>
        <w:adjustRightInd w:val="0"/>
        <w:snapToGrid w:val="0"/>
        <w:spacing w:line="596" w:lineRule="exact"/>
        <w:ind w:firstLine="600"/>
        <w:rPr>
          <w:color w:val="000000"/>
          <w:sz w:val="30"/>
          <w:szCs w:val="30"/>
        </w:rPr>
      </w:pPr>
      <w:r>
        <w:rPr>
          <w:rFonts w:hint="eastAsia"/>
          <w:color w:val="000000"/>
          <w:sz w:val="30"/>
          <w:szCs w:val="30"/>
        </w:rPr>
        <w:t>全市乡村振兴开局良好，城乡融合发展的体制机制和政策体系不断完善，各类发展要素持续投向农业农村，宁德市第五次党代会又提出未来五年要重点建设“全国乡村振兴样板区”，这些都为特色现代农业发展创造了良好的机遇。</w:t>
      </w:r>
    </w:p>
    <w:p>
      <w:pPr>
        <w:pStyle w:val="5"/>
        <w:numPr>
          <w:ilvl w:val="0"/>
          <w:numId w:val="0"/>
        </w:numPr>
        <w:adjustRightInd w:val="0"/>
        <w:snapToGrid w:val="0"/>
        <w:spacing w:line="596" w:lineRule="exact"/>
        <w:ind w:firstLine="640" w:firstLineChars="200"/>
        <w:rPr>
          <w:rFonts w:hint="eastAsia" w:ascii="黑体" w:hAnsi="黑体" w:eastAsia="黑体" w:cs="黑体"/>
          <w:b w:val="0"/>
          <w:bCs/>
          <w:color w:val="000000"/>
          <w:sz w:val="32"/>
          <w:szCs w:val="32"/>
        </w:rPr>
      </w:pPr>
      <w:bookmarkStart w:id="110" w:name="_Toc9712"/>
      <w:bookmarkStart w:id="111" w:name="_Toc12377"/>
      <w:bookmarkStart w:id="112" w:name="_Toc17604"/>
      <w:bookmarkStart w:id="113" w:name="_Toc28567"/>
      <w:bookmarkStart w:id="114" w:name="_Toc15155"/>
      <w:bookmarkStart w:id="115" w:name="_Toc31859"/>
      <w:bookmarkStart w:id="116" w:name="_Toc16602"/>
      <w:bookmarkStart w:id="117" w:name="_Toc9186"/>
      <w:r>
        <w:rPr>
          <w:rFonts w:hint="eastAsia" w:ascii="黑体" w:hAnsi="黑体" w:eastAsia="黑体" w:cs="黑体"/>
          <w:b w:val="0"/>
          <w:bCs/>
          <w:color w:val="000000"/>
          <w:sz w:val="32"/>
          <w:szCs w:val="32"/>
        </w:rPr>
        <w:t>一、国家战略重点转向乡村振兴</w:t>
      </w:r>
      <w:bookmarkEnd w:id="110"/>
      <w:bookmarkEnd w:id="111"/>
      <w:bookmarkEnd w:id="112"/>
      <w:bookmarkEnd w:id="113"/>
      <w:bookmarkEnd w:id="114"/>
      <w:bookmarkEnd w:id="115"/>
      <w:bookmarkEnd w:id="116"/>
      <w:bookmarkEnd w:id="117"/>
    </w:p>
    <w:p>
      <w:pPr>
        <w:adjustRightInd w:val="0"/>
        <w:snapToGrid w:val="0"/>
        <w:spacing w:line="596" w:lineRule="exact"/>
        <w:ind w:firstLine="600"/>
        <w:rPr>
          <w:color w:val="000000"/>
          <w:sz w:val="30"/>
          <w:szCs w:val="30"/>
        </w:rPr>
      </w:pPr>
      <w:r>
        <w:rPr>
          <w:rFonts w:hint="eastAsia" w:ascii="仿宋_GB2312" w:hAnsi="仿宋_GB2312" w:cs="仿宋_GB2312"/>
          <w:color w:val="000000"/>
          <w:sz w:val="30"/>
          <w:szCs w:val="30"/>
        </w:rPr>
        <w:t>“十四五”时期是全面推进乡村振兴的关键时期。习近平总书记在2020年中央农村工作会议上的重要讲</w:t>
      </w:r>
      <w:r>
        <w:rPr>
          <w:rFonts w:hint="eastAsia"/>
          <w:color w:val="000000"/>
          <w:sz w:val="30"/>
          <w:szCs w:val="30"/>
        </w:rPr>
        <w:t>话，立足两个大局，深刻阐述了一系列事关新发展新阶段农业农村改革发展的重大理论和现实问题，对巩固拓展脱贫攻坚成果、牢牢把住粮食安全主动权、推进乡村振兴作出了系统部署，为做好“十四五”农业农村工作指明了方向，提供了遵循。随着乡村振兴战略的深入实施，将有力推动乡村产业振兴，推动农业全面升级，推动特色现代农业高质量发展。</w:t>
      </w:r>
    </w:p>
    <w:p>
      <w:pPr>
        <w:pStyle w:val="5"/>
        <w:numPr>
          <w:ilvl w:val="0"/>
          <w:numId w:val="0"/>
        </w:numPr>
        <w:adjustRightInd w:val="0"/>
        <w:snapToGrid w:val="0"/>
        <w:spacing w:line="596" w:lineRule="exact"/>
        <w:ind w:firstLine="640" w:firstLineChars="200"/>
        <w:rPr>
          <w:rFonts w:hint="eastAsia" w:ascii="黑体" w:hAnsi="黑体" w:eastAsia="黑体" w:cs="黑体"/>
          <w:b w:val="0"/>
          <w:bCs/>
          <w:color w:val="000000"/>
          <w:sz w:val="32"/>
          <w:szCs w:val="32"/>
        </w:rPr>
      </w:pPr>
      <w:bookmarkStart w:id="118" w:name="_Toc27513"/>
      <w:bookmarkStart w:id="119" w:name="_Toc1336"/>
      <w:bookmarkStart w:id="120" w:name="_Toc20358"/>
      <w:bookmarkStart w:id="121" w:name="_Toc24316"/>
      <w:bookmarkStart w:id="122" w:name="_Toc10307"/>
      <w:bookmarkStart w:id="123" w:name="_Toc9117"/>
      <w:bookmarkStart w:id="124" w:name="_Toc1401"/>
      <w:bookmarkStart w:id="125" w:name="_Toc12054"/>
      <w:r>
        <w:rPr>
          <w:rFonts w:hint="eastAsia" w:ascii="黑体" w:hAnsi="黑体" w:eastAsia="黑体" w:cs="黑体"/>
          <w:b w:val="0"/>
          <w:bCs/>
          <w:color w:val="000000"/>
          <w:sz w:val="32"/>
          <w:szCs w:val="32"/>
          <w:lang w:eastAsia="zh-CN"/>
        </w:rPr>
        <w:t>二</w:t>
      </w:r>
      <w:r>
        <w:rPr>
          <w:rFonts w:hint="eastAsia" w:ascii="黑体" w:hAnsi="黑体" w:eastAsia="黑体" w:cs="黑体"/>
          <w:b w:val="0"/>
          <w:bCs/>
          <w:color w:val="000000"/>
          <w:sz w:val="32"/>
          <w:szCs w:val="32"/>
        </w:rPr>
        <w:t>、农业农村改革发展经验丰富</w:t>
      </w:r>
      <w:bookmarkEnd w:id="118"/>
      <w:bookmarkEnd w:id="119"/>
      <w:bookmarkEnd w:id="120"/>
      <w:bookmarkEnd w:id="121"/>
      <w:bookmarkEnd w:id="122"/>
      <w:bookmarkEnd w:id="123"/>
      <w:bookmarkEnd w:id="124"/>
      <w:bookmarkEnd w:id="125"/>
    </w:p>
    <w:p>
      <w:pPr>
        <w:adjustRightInd w:val="0"/>
        <w:snapToGrid w:val="0"/>
        <w:spacing w:line="596" w:lineRule="exact"/>
        <w:ind w:firstLine="600"/>
        <w:rPr>
          <w:color w:val="000000"/>
          <w:sz w:val="30"/>
          <w:szCs w:val="30"/>
        </w:rPr>
      </w:pPr>
      <w:r>
        <w:rPr>
          <w:rFonts w:hint="eastAsia"/>
          <w:color w:val="000000"/>
          <w:sz w:val="30"/>
          <w:szCs w:val="30"/>
        </w:rPr>
        <w:t>习</w:t>
      </w:r>
      <w:r>
        <w:rPr>
          <w:rFonts w:hint="eastAsia"/>
          <w:color w:val="000000"/>
          <w:sz w:val="30"/>
          <w:szCs w:val="30"/>
          <w:lang w:eastAsia="zh-CN"/>
        </w:rPr>
        <w:t>近平</w:t>
      </w:r>
      <w:r>
        <w:rPr>
          <w:rFonts w:hint="eastAsia"/>
          <w:color w:val="000000"/>
          <w:sz w:val="30"/>
          <w:szCs w:val="30"/>
        </w:rPr>
        <w:t>总书记在宁德工作期间，围绕“三农”工作进行深入调研，提出了一系列科学性和前瞻性的工作思路和重大举措。针对当时小农经济问题，要求干部群众树立“大农业”观念，提出大力发展特色农业、生态农业；针对扶贫开发工作，强调“扶贫要先扶志”，带头践行并倡导“滴水穿石”精神、“弱鸟先飞”意识，并组织推动山海协作、对口帮扶、发展村集体经济、茅草屋改造和连家船民上岸等一系列工程。这些宝贵的“闽东思考”“闽东实践”，至今对宁德市做好“三农”工作仍具有重要指导意义。</w:t>
      </w:r>
    </w:p>
    <w:p>
      <w:pPr>
        <w:pStyle w:val="5"/>
        <w:numPr>
          <w:ilvl w:val="0"/>
          <w:numId w:val="0"/>
        </w:numPr>
        <w:adjustRightInd w:val="0"/>
        <w:snapToGrid w:val="0"/>
        <w:spacing w:line="596" w:lineRule="exact"/>
        <w:ind w:firstLine="640" w:firstLineChars="200"/>
        <w:rPr>
          <w:rFonts w:hint="eastAsia" w:ascii="黑体" w:hAnsi="黑体" w:eastAsia="黑体" w:cs="黑体"/>
          <w:b w:val="0"/>
          <w:bCs/>
          <w:color w:val="000000"/>
          <w:sz w:val="32"/>
          <w:szCs w:val="32"/>
        </w:rPr>
      </w:pPr>
      <w:bookmarkStart w:id="126" w:name="_Toc31539"/>
      <w:bookmarkStart w:id="127" w:name="_Toc4120"/>
      <w:bookmarkStart w:id="128" w:name="_Toc24121"/>
      <w:bookmarkStart w:id="129" w:name="_Toc21131"/>
      <w:bookmarkStart w:id="130" w:name="_Toc31773"/>
      <w:bookmarkStart w:id="131" w:name="_Toc4885"/>
      <w:bookmarkStart w:id="132" w:name="_Toc18397"/>
      <w:bookmarkStart w:id="133" w:name="_Toc20172"/>
      <w:r>
        <w:rPr>
          <w:rFonts w:hint="eastAsia" w:ascii="黑体" w:hAnsi="黑体" w:eastAsia="黑体" w:cs="黑体"/>
          <w:b w:val="0"/>
          <w:bCs/>
          <w:color w:val="000000"/>
          <w:sz w:val="32"/>
          <w:szCs w:val="32"/>
          <w:lang w:eastAsia="zh-CN"/>
        </w:rPr>
        <w:t>三</w:t>
      </w:r>
      <w:r>
        <w:rPr>
          <w:rFonts w:hint="eastAsia" w:ascii="黑体" w:hAnsi="黑体" w:eastAsia="黑体" w:cs="黑体"/>
          <w:b w:val="0"/>
          <w:bCs/>
          <w:color w:val="000000"/>
          <w:sz w:val="32"/>
          <w:szCs w:val="32"/>
        </w:rPr>
        <w:t>、区位优势和生态资源优势突出</w:t>
      </w:r>
      <w:bookmarkEnd w:id="126"/>
      <w:bookmarkEnd w:id="127"/>
      <w:bookmarkEnd w:id="128"/>
      <w:bookmarkEnd w:id="129"/>
      <w:bookmarkEnd w:id="130"/>
      <w:bookmarkEnd w:id="131"/>
      <w:bookmarkEnd w:id="132"/>
      <w:bookmarkEnd w:id="133"/>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宁德位于中国大陆黄金海岸线中段，处在福州与温州两个区域核心城市之间，与台湾隔海相望，至基隆港仅145海里，对台区位优势显著。作为福建“北大门”的宁德，既是祖国东南沿海大通道的重要区域，也是连接江西、安徽、湖南、湖北等内陆地区的重要出海口。独特的区位优势有利于加强与温州、丽水、衢州等</w:t>
      </w:r>
      <w:r>
        <w:rPr>
          <w:rFonts w:hint="eastAsia"/>
          <w:color w:val="000000"/>
          <w:sz w:val="30"/>
          <w:szCs w:val="30"/>
        </w:rPr>
        <w:t>浙南地区和上饶等赣东北地区的区域合作，加速形成福建对接长三角的前</w:t>
      </w:r>
      <w:r>
        <w:rPr>
          <w:rFonts w:hint="eastAsia" w:ascii="仿宋_GB2312" w:hAnsi="仿宋_GB2312" w:cs="仿宋_GB2312"/>
          <w:color w:val="000000"/>
          <w:sz w:val="30"/>
          <w:szCs w:val="30"/>
        </w:rPr>
        <w:t>沿区域。同时，宁德兼得山海之利，是国家园林城市和森林城市，中心城区环境空气质量优良天数比例达99.2%，重点流域优良水质比例100%，森林覆盖率达到69.98%。区位和生态优势愈加凸显，为特色现代农业的发展打下坚实基础。</w:t>
      </w:r>
    </w:p>
    <w:p>
      <w:pPr>
        <w:pStyle w:val="5"/>
        <w:numPr>
          <w:ilvl w:val="0"/>
          <w:numId w:val="0"/>
        </w:numPr>
        <w:adjustRightInd w:val="0"/>
        <w:snapToGrid w:val="0"/>
        <w:spacing w:line="596" w:lineRule="exact"/>
        <w:ind w:firstLine="640" w:firstLineChars="200"/>
        <w:rPr>
          <w:rFonts w:hint="eastAsia" w:ascii="黑体" w:hAnsi="黑体" w:eastAsia="黑体" w:cs="黑体"/>
          <w:b w:val="0"/>
          <w:bCs/>
          <w:color w:val="000000"/>
          <w:sz w:val="32"/>
          <w:szCs w:val="32"/>
        </w:rPr>
      </w:pPr>
      <w:bookmarkStart w:id="134" w:name="_Toc740"/>
      <w:bookmarkStart w:id="135" w:name="_Toc29897"/>
      <w:bookmarkStart w:id="136" w:name="_Toc22416"/>
      <w:bookmarkStart w:id="137" w:name="_Toc25730"/>
      <w:bookmarkStart w:id="138" w:name="_Toc4633"/>
      <w:bookmarkStart w:id="139" w:name="_Toc7235"/>
      <w:bookmarkStart w:id="140" w:name="_Toc24065"/>
      <w:bookmarkStart w:id="141" w:name="_Toc32500"/>
      <w:r>
        <w:rPr>
          <w:rFonts w:hint="eastAsia" w:ascii="黑体" w:hAnsi="黑体" w:eastAsia="黑体" w:cs="黑体"/>
          <w:b w:val="0"/>
          <w:bCs/>
          <w:color w:val="000000"/>
          <w:sz w:val="32"/>
          <w:szCs w:val="32"/>
          <w:lang w:eastAsia="zh-CN"/>
        </w:rPr>
        <w:t>四</w:t>
      </w:r>
      <w:r>
        <w:rPr>
          <w:rFonts w:hint="eastAsia" w:ascii="黑体" w:hAnsi="黑体" w:eastAsia="黑体" w:cs="黑体"/>
          <w:b w:val="0"/>
          <w:bCs/>
          <w:color w:val="000000"/>
          <w:sz w:val="32"/>
          <w:szCs w:val="32"/>
        </w:rPr>
        <w:t>、农产品市场消费水平升级</w:t>
      </w:r>
      <w:bookmarkEnd w:id="134"/>
      <w:bookmarkEnd w:id="135"/>
      <w:bookmarkEnd w:id="136"/>
      <w:bookmarkEnd w:id="137"/>
      <w:bookmarkEnd w:id="138"/>
      <w:bookmarkEnd w:id="139"/>
      <w:bookmarkEnd w:id="140"/>
      <w:bookmarkEnd w:id="141"/>
    </w:p>
    <w:p>
      <w:pPr>
        <w:adjustRightInd w:val="0"/>
        <w:snapToGrid w:val="0"/>
        <w:spacing w:line="596" w:lineRule="exact"/>
        <w:ind w:firstLine="600"/>
        <w:rPr>
          <w:color w:val="000000"/>
          <w:sz w:val="30"/>
          <w:szCs w:val="30"/>
        </w:rPr>
      </w:pPr>
      <w:r>
        <w:rPr>
          <w:rFonts w:hint="eastAsia"/>
          <w:color w:val="000000"/>
          <w:sz w:val="30"/>
          <w:szCs w:val="30"/>
        </w:rPr>
        <w:t>随着工业化、城镇化加速推进，农业农村发展的内在动因、外部环境发生了深刻变化，已进入大变革、大转型的新阶段。一方面，随着社会经济水平的提升，进一步增强了以工促农、以城带乡的能力，农业农村消费市场逐步打开；另一方面，城乡消费结构加快升级，人民群众对多样化农产品、乡村休闲旅游等需求更加迫切，乡村的独特价值和多元功能将得到发掘和拓展。居民消费结构不断升级，个性化、多样化、优质化农产品和农业多种功能需求日益旺盛，为拓展特色现代农业发展空间释放了巨大潜力。</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Cs w:val="32"/>
        </w:rPr>
      </w:pPr>
      <w:bookmarkStart w:id="142" w:name="_Toc26468"/>
      <w:bookmarkStart w:id="143" w:name="_Toc26499"/>
      <w:bookmarkStart w:id="144" w:name="_Toc16555"/>
      <w:bookmarkStart w:id="145" w:name="_Toc32535"/>
      <w:bookmarkStart w:id="146" w:name="_Toc11216"/>
      <w:bookmarkStart w:id="147" w:name="_Toc14355"/>
      <w:bookmarkStart w:id="148" w:name="_Toc17409"/>
      <w:bookmarkStart w:id="149" w:name="_Toc25643"/>
      <w:bookmarkStart w:id="150" w:name="_Toc29576"/>
      <w:bookmarkStart w:id="151" w:name="_Toc1526"/>
      <w:bookmarkStart w:id="152" w:name="_Toc15897"/>
      <w:r>
        <w:rPr>
          <w:rFonts w:hint="eastAsia" w:ascii="楷体_GB2312" w:hAnsi="楷体_GB2312" w:eastAsia="楷体_GB2312" w:cs="楷体_GB2312"/>
          <w:color w:val="000000"/>
          <w:szCs w:val="32"/>
        </w:rPr>
        <w:t>第三节　发展短板</w:t>
      </w:r>
      <w:bookmarkEnd w:id="142"/>
      <w:bookmarkEnd w:id="143"/>
      <w:bookmarkEnd w:id="144"/>
      <w:bookmarkEnd w:id="145"/>
      <w:bookmarkEnd w:id="146"/>
      <w:bookmarkEnd w:id="147"/>
      <w:bookmarkEnd w:id="148"/>
      <w:bookmarkEnd w:id="149"/>
      <w:bookmarkEnd w:id="150"/>
      <w:bookmarkEnd w:id="151"/>
      <w:bookmarkEnd w:id="152"/>
    </w:p>
    <w:p>
      <w:pPr>
        <w:adjustRightInd w:val="0"/>
        <w:snapToGrid w:val="0"/>
        <w:spacing w:line="596" w:lineRule="exact"/>
        <w:ind w:firstLine="640"/>
      </w:pPr>
      <w:bookmarkStart w:id="153" w:name="_Toc30737"/>
      <w:bookmarkStart w:id="154" w:name="_Toc21115"/>
      <w:bookmarkStart w:id="155" w:name="_Toc27842"/>
      <w:bookmarkStart w:id="156" w:name="_Toc10567"/>
      <w:bookmarkStart w:id="157" w:name="_Toc2537"/>
      <w:bookmarkStart w:id="158" w:name="_Toc32372"/>
      <w:bookmarkStart w:id="159" w:name="_Toc13377"/>
      <w:bookmarkStart w:id="160" w:name="_Toc28022"/>
      <w:bookmarkStart w:id="161" w:name="_Toc12332"/>
      <w:bookmarkStart w:id="162" w:name="_Toc18593"/>
      <w:bookmarkStart w:id="163" w:name="_Toc2470"/>
      <w:bookmarkStart w:id="164" w:name="_Toc11182"/>
    </w:p>
    <w:p>
      <w:pPr>
        <w:pStyle w:val="5"/>
        <w:adjustRightInd w:val="0"/>
        <w:snapToGrid w:val="0"/>
        <w:spacing w:line="596" w:lineRule="exact"/>
        <w:ind w:right="0" w:firstLine="602"/>
        <w:rPr>
          <w:color w:val="000000"/>
          <w:sz w:val="30"/>
          <w:szCs w:val="30"/>
        </w:rPr>
      </w:pPr>
      <w:bookmarkStart w:id="165" w:name="_Toc11381"/>
      <w:r>
        <w:rPr>
          <w:rFonts w:hint="eastAsia" w:ascii="黑体" w:hAnsi="黑体" w:eastAsia="黑体" w:cs="黑体"/>
          <w:b w:val="0"/>
          <w:bCs/>
          <w:color w:val="000000"/>
          <w:sz w:val="30"/>
          <w:szCs w:val="30"/>
        </w:rPr>
        <w:t>一、</w:t>
      </w:r>
      <w:bookmarkEnd w:id="153"/>
      <w:bookmarkEnd w:id="154"/>
      <w:bookmarkEnd w:id="155"/>
      <w:bookmarkEnd w:id="156"/>
      <w:bookmarkEnd w:id="157"/>
      <w:r>
        <w:rPr>
          <w:rFonts w:hint="eastAsia" w:ascii="黑体" w:hAnsi="黑体" w:eastAsia="黑体" w:cs="黑体"/>
          <w:b w:val="0"/>
          <w:bCs/>
          <w:color w:val="000000"/>
          <w:sz w:val="30"/>
          <w:szCs w:val="30"/>
        </w:rPr>
        <w:t>特色产业发展空间和资源约束加大</w:t>
      </w:r>
      <w:bookmarkEnd w:id="158"/>
      <w:bookmarkEnd w:id="159"/>
      <w:bookmarkEnd w:id="160"/>
      <w:bookmarkEnd w:id="161"/>
      <w:bookmarkEnd w:id="162"/>
      <w:bookmarkEnd w:id="163"/>
      <w:bookmarkEnd w:id="164"/>
      <w:bookmarkEnd w:id="165"/>
    </w:p>
    <w:p>
      <w:pPr>
        <w:adjustRightInd w:val="0"/>
        <w:snapToGrid w:val="0"/>
        <w:spacing w:line="596" w:lineRule="exact"/>
        <w:ind w:firstLine="600"/>
        <w:rPr>
          <w:color w:val="000000"/>
          <w:sz w:val="30"/>
          <w:szCs w:val="30"/>
        </w:rPr>
      </w:pPr>
      <w:r>
        <w:rPr>
          <w:rFonts w:hint="eastAsia"/>
          <w:color w:val="000000"/>
          <w:sz w:val="30"/>
          <w:szCs w:val="30"/>
        </w:rPr>
        <w:t>近年来，全市农业基础条件有了明显改善，但发展的基础条件依然薄弱。一是全市脱贫攻坚取得全面胜利，但屏南、柘荣、古田、霞浦、周宁、寿宁等省级扶贫开发工作重点县刚刚摘帽，重点县从脱贫攻坚转向乡村振兴，实现有效衔接的基础设施条件、产业精深发展上仍然存在差距；二是宁德地处福建东部沿海，台风等气象灾害频发，农业抵御自然灾害的能力依然不强；三是随着经济社会发展，城市化新增建设用地需求增加，农业的发展空间受到城市化进程的压迫；四是山区县的部分地区农田基础设施依然薄弱，农田水利设施老化，制约了粮食安全和主要农产品优质有效供给。</w:t>
      </w:r>
    </w:p>
    <w:p>
      <w:pPr>
        <w:pStyle w:val="5"/>
        <w:numPr>
          <w:ilvl w:val="0"/>
          <w:numId w:val="0"/>
        </w:numPr>
        <w:adjustRightInd w:val="0"/>
        <w:snapToGrid w:val="0"/>
        <w:spacing w:line="596" w:lineRule="exact"/>
        <w:ind w:right="0" w:firstLine="602" w:firstLineChars="0"/>
        <w:rPr>
          <w:rFonts w:hint="eastAsia" w:ascii="黑体" w:hAnsi="黑体" w:eastAsia="黑体" w:cs="黑体"/>
          <w:b w:val="0"/>
          <w:bCs/>
          <w:color w:val="000000"/>
          <w:sz w:val="30"/>
          <w:szCs w:val="30"/>
        </w:rPr>
      </w:pPr>
      <w:bookmarkStart w:id="166" w:name="_Toc1519"/>
      <w:bookmarkStart w:id="167" w:name="_Toc3499"/>
      <w:bookmarkStart w:id="168" w:name="_Toc21937"/>
      <w:bookmarkStart w:id="169" w:name="_Toc20386"/>
      <w:bookmarkStart w:id="170" w:name="_Toc23297"/>
      <w:bookmarkStart w:id="171" w:name="_Toc16843"/>
      <w:bookmarkStart w:id="172" w:name="_Toc2936"/>
      <w:bookmarkStart w:id="173" w:name="_Toc21582"/>
      <w:r>
        <w:rPr>
          <w:rFonts w:hint="eastAsia" w:ascii="黑体" w:hAnsi="黑体" w:eastAsia="黑体" w:cs="黑体"/>
          <w:b w:val="0"/>
          <w:bCs/>
          <w:color w:val="000000"/>
          <w:sz w:val="30"/>
          <w:szCs w:val="30"/>
        </w:rPr>
        <w:t>二、农业农村产业项目用地难</w:t>
      </w:r>
      <w:bookmarkEnd w:id="166"/>
      <w:bookmarkEnd w:id="167"/>
      <w:bookmarkEnd w:id="168"/>
      <w:bookmarkEnd w:id="169"/>
      <w:bookmarkEnd w:id="170"/>
      <w:bookmarkEnd w:id="171"/>
      <w:bookmarkEnd w:id="172"/>
      <w:bookmarkEnd w:id="173"/>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当前，全市在推进特色现代农业发展过程中，尤其是在推进“8+1”特色优势产业三产融合发展项目过程中，用地难是个瓶颈，各地普遍存在项目落地难的问题。沿海地区的蕉城、福鼎、福安用地条件较好，但是用地成本较高，用地普遍倾向于工业。山区的其他县受地形地貌的影响，土地呈碎片化，规模化项目因土地不够集中难以推进。特别是在农产品加工业用地、设施农业用地等方面瓶颈凸显。各地服务农业企业的政策和机制支撑不足，难以满足全市特色现代农业高质量发展需求。</w:t>
      </w:r>
    </w:p>
    <w:p>
      <w:pPr>
        <w:pStyle w:val="5"/>
        <w:numPr>
          <w:ilvl w:val="0"/>
          <w:numId w:val="0"/>
        </w:numPr>
        <w:adjustRightInd w:val="0"/>
        <w:snapToGrid w:val="0"/>
        <w:spacing w:line="596" w:lineRule="exact"/>
        <w:ind w:right="0" w:firstLine="602" w:firstLineChars="0"/>
        <w:rPr>
          <w:rFonts w:hint="eastAsia" w:ascii="黑体" w:hAnsi="黑体" w:eastAsia="黑体" w:cs="黑体"/>
          <w:b w:val="0"/>
          <w:bCs/>
          <w:color w:val="000000"/>
          <w:sz w:val="30"/>
          <w:szCs w:val="30"/>
        </w:rPr>
      </w:pPr>
      <w:bookmarkStart w:id="174" w:name="_Toc20850"/>
      <w:bookmarkStart w:id="175" w:name="_Toc25370"/>
      <w:bookmarkStart w:id="176" w:name="_Toc31842"/>
      <w:bookmarkStart w:id="177" w:name="_Toc18306"/>
      <w:bookmarkStart w:id="178" w:name="_Toc27293"/>
      <w:bookmarkStart w:id="179" w:name="_Toc6388"/>
      <w:bookmarkStart w:id="180" w:name="_Toc4527"/>
      <w:bookmarkStart w:id="181" w:name="_Toc19319"/>
      <w:r>
        <w:rPr>
          <w:rFonts w:hint="eastAsia" w:ascii="黑体" w:hAnsi="黑体" w:eastAsia="黑体" w:cs="黑体"/>
          <w:b w:val="0"/>
          <w:bCs/>
          <w:color w:val="000000"/>
          <w:sz w:val="30"/>
          <w:szCs w:val="30"/>
        </w:rPr>
        <w:t>三、农业产业化水平低区域分布不均</w:t>
      </w:r>
      <w:bookmarkEnd w:id="174"/>
      <w:bookmarkEnd w:id="175"/>
      <w:bookmarkEnd w:id="176"/>
      <w:bookmarkEnd w:id="177"/>
      <w:bookmarkEnd w:id="178"/>
      <w:bookmarkEnd w:id="179"/>
      <w:bookmarkEnd w:id="180"/>
      <w:bookmarkEnd w:id="181"/>
    </w:p>
    <w:p>
      <w:pPr>
        <w:adjustRightInd w:val="0"/>
        <w:snapToGrid w:val="0"/>
        <w:spacing w:line="596" w:lineRule="exact"/>
        <w:ind w:firstLine="600"/>
        <w:rPr>
          <w:color w:val="000000"/>
          <w:sz w:val="30"/>
          <w:szCs w:val="30"/>
        </w:rPr>
      </w:pPr>
      <w:r>
        <w:rPr>
          <w:rFonts w:hint="eastAsia" w:ascii="仿宋_GB2312" w:hAnsi="仿宋_GB2312" w:cs="仿宋_GB2312"/>
          <w:color w:val="000000"/>
          <w:sz w:val="30"/>
          <w:szCs w:val="30"/>
        </w:rPr>
        <w:t>全市农业产业化经营格局虽已初步形成，但总体水平不高。2020年公布的最新数据显示，全市省级以上农业产业化龙头企业145家（国家级7家），市级342家。龙头企业的数量处于全省平均水平，但龙头企业的总体质量不高，普遍以农产品初加工为主，精深加工水平较低，辐射示范带动能力不强。产业化龙头企业区域分布不平衡，沿海的蕉城、福鼎、福安、霞浦等县（市、区）的市级龙头企业数量占比超过60%，山区各县占比不足40%。产业化龙头企业作为推动特色现代农业高质量发展的主力，在创新驱动引领高质量发</w:t>
      </w:r>
      <w:r>
        <w:rPr>
          <w:rFonts w:hint="eastAsia"/>
          <w:color w:val="000000"/>
          <w:sz w:val="30"/>
          <w:szCs w:val="30"/>
        </w:rPr>
        <w:t>展中，示范带动能力有待深化和突破。</w:t>
      </w:r>
    </w:p>
    <w:p>
      <w:pPr>
        <w:pStyle w:val="5"/>
        <w:numPr>
          <w:ilvl w:val="0"/>
          <w:numId w:val="0"/>
        </w:numPr>
        <w:adjustRightInd w:val="0"/>
        <w:snapToGrid w:val="0"/>
        <w:spacing w:line="596" w:lineRule="exact"/>
        <w:ind w:right="0" w:firstLine="600" w:firstLineChars="200"/>
        <w:rPr>
          <w:color w:val="000000"/>
          <w:sz w:val="30"/>
          <w:szCs w:val="30"/>
        </w:rPr>
      </w:pPr>
      <w:bookmarkStart w:id="182" w:name="_Toc8985"/>
      <w:bookmarkStart w:id="183" w:name="_Toc8489"/>
      <w:bookmarkStart w:id="184" w:name="_Toc28279"/>
      <w:bookmarkStart w:id="185" w:name="_Toc20693"/>
      <w:bookmarkStart w:id="186" w:name="_Toc14343"/>
      <w:bookmarkStart w:id="187" w:name="_Toc26374"/>
      <w:bookmarkStart w:id="188" w:name="_Toc6757"/>
      <w:bookmarkStart w:id="189" w:name="_Toc31818"/>
      <w:r>
        <w:rPr>
          <w:rFonts w:hint="eastAsia" w:ascii="黑体" w:hAnsi="黑体" w:eastAsia="黑体" w:cs="黑体"/>
          <w:b w:val="0"/>
          <w:bCs/>
          <w:color w:val="000000"/>
          <w:sz w:val="30"/>
          <w:szCs w:val="30"/>
        </w:rPr>
        <w:t>四、产业链物流链</w:t>
      </w:r>
      <w:bookmarkEnd w:id="182"/>
      <w:r>
        <w:rPr>
          <w:rFonts w:hint="eastAsia" w:ascii="黑体" w:hAnsi="黑体" w:eastAsia="黑体" w:cs="黑体"/>
          <w:b w:val="0"/>
          <w:bCs/>
          <w:color w:val="000000"/>
          <w:sz w:val="30"/>
          <w:szCs w:val="30"/>
        </w:rPr>
        <w:t>跨区域流通短板明显</w:t>
      </w:r>
      <w:bookmarkEnd w:id="183"/>
      <w:bookmarkEnd w:id="184"/>
      <w:bookmarkEnd w:id="185"/>
      <w:bookmarkEnd w:id="186"/>
      <w:bookmarkEnd w:id="187"/>
      <w:bookmarkEnd w:id="188"/>
      <w:bookmarkEnd w:id="189"/>
    </w:p>
    <w:p>
      <w:pPr>
        <w:adjustRightInd w:val="0"/>
        <w:snapToGrid w:val="0"/>
        <w:spacing w:line="596" w:lineRule="exact"/>
        <w:ind w:firstLine="600"/>
        <w:rPr>
          <w:rFonts w:ascii="仿宋" w:hAnsi="仿宋" w:eastAsia="仿宋" w:cs="仿宋"/>
          <w:color w:val="000000"/>
          <w:sz w:val="30"/>
          <w:szCs w:val="30"/>
        </w:rPr>
      </w:pPr>
      <w:r>
        <w:rPr>
          <w:rFonts w:hint="eastAsia" w:ascii="仿宋" w:hAnsi="仿宋" w:cs="仿宋"/>
          <w:color w:val="000000"/>
          <w:sz w:val="30"/>
          <w:szCs w:val="30"/>
        </w:rPr>
        <w:t>随着农产品跨区域流通需求的激增，冷链物流产业发展将迎来黄金时期。目前全市生鲜冷链物流业围绕水产品、食用菌、蔬菜等特色优质农产品生产基地已形成一定的发展规模，但全市冷链物流发展还面临存在不少短板，主要有：冷链物流行业发展基础薄弱，区域发展极不平衡，具备规模的冷链企业主要集中在东侨、蕉城、福安、福鼎，其他各县的冷链物流发展相对滞后、冷链企业规模小；冷链物流企业运行成本高，主要由民营企业自行建设和运营，成本负担较重；冷链信息化水平低，目前尚未建立区域性的生鲜农产品冷链物流公共信息平台和生鲜农产品质量安全全程监控系统平台，尚未形成全程可追溯的农产品冷链监测流程等。</w:t>
      </w:r>
    </w:p>
    <w:p>
      <w:pPr>
        <w:pStyle w:val="5"/>
        <w:numPr>
          <w:ilvl w:val="0"/>
          <w:numId w:val="0"/>
        </w:numPr>
        <w:adjustRightInd w:val="0"/>
        <w:snapToGrid w:val="0"/>
        <w:spacing w:line="596" w:lineRule="exact"/>
        <w:ind w:right="0" w:firstLine="602" w:firstLineChars="0"/>
        <w:rPr>
          <w:rFonts w:hint="eastAsia" w:ascii="黑体" w:hAnsi="黑体" w:eastAsia="黑体" w:cs="黑体"/>
          <w:b w:val="0"/>
          <w:bCs/>
          <w:color w:val="000000"/>
          <w:sz w:val="30"/>
          <w:szCs w:val="30"/>
        </w:rPr>
      </w:pPr>
      <w:bookmarkStart w:id="190" w:name="_Toc15211"/>
      <w:bookmarkStart w:id="191" w:name="_Toc19537"/>
      <w:bookmarkStart w:id="192" w:name="_Toc24562"/>
      <w:bookmarkStart w:id="193" w:name="_Toc19692"/>
      <w:bookmarkStart w:id="194" w:name="_Toc7970"/>
      <w:bookmarkStart w:id="195" w:name="_Toc27253"/>
      <w:bookmarkStart w:id="196" w:name="_Toc8957"/>
      <w:bookmarkStart w:id="197" w:name="_Toc551"/>
      <w:r>
        <w:rPr>
          <w:rFonts w:hint="eastAsia" w:ascii="黑体" w:hAnsi="黑体" w:eastAsia="黑体" w:cs="黑体"/>
          <w:b w:val="0"/>
          <w:bCs/>
          <w:color w:val="000000"/>
          <w:sz w:val="30"/>
          <w:szCs w:val="30"/>
        </w:rPr>
        <w:t>五、</w:t>
      </w:r>
      <w:bookmarkEnd w:id="190"/>
      <w:r>
        <w:rPr>
          <w:rFonts w:hint="eastAsia" w:ascii="黑体" w:hAnsi="黑体" w:eastAsia="黑体" w:cs="黑体"/>
          <w:b w:val="0"/>
          <w:bCs/>
          <w:color w:val="000000"/>
          <w:sz w:val="30"/>
          <w:szCs w:val="30"/>
        </w:rPr>
        <w:t>乡村休闲旅游业发展水平不高</w:t>
      </w:r>
      <w:bookmarkEnd w:id="191"/>
      <w:bookmarkEnd w:id="192"/>
      <w:bookmarkEnd w:id="193"/>
      <w:bookmarkEnd w:id="194"/>
      <w:bookmarkEnd w:id="195"/>
      <w:bookmarkEnd w:id="196"/>
      <w:bookmarkEnd w:id="197"/>
    </w:p>
    <w:p>
      <w:pPr>
        <w:adjustRightInd w:val="0"/>
        <w:snapToGrid w:val="0"/>
        <w:spacing w:line="596" w:lineRule="exact"/>
        <w:ind w:firstLine="600"/>
        <w:rPr>
          <w:color w:val="000000"/>
          <w:sz w:val="30"/>
          <w:szCs w:val="30"/>
        </w:rPr>
      </w:pPr>
      <w:r>
        <w:rPr>
          <w:rFonts w:hint="eastAsia" w:ascii="仿宋_GB2312" w:hAnsi="仿宋_GB2312" w:cs="仿宋_GB2312"/>
          <w:color w:val="000000"/>
          <w:sz w:val="30"/>
          <w:szCs w:val="30"/>
        </w:rPr>
        <w:t>全市农业开发具有多功能性特点，2020年乡村休闲旅游业年接待人数达到1114.25万人次（2019年为1977.57万人次，人数减少主要受疫情影响），但开发层次总体偏低，功能、设施配套不足，与自身丰富的旅游资源优势不够匹配。从生产功能来看，农业规模化生产水平偏低，产品产出水平也较低，高端精细化农产品生产明显不足；从生活功能来看，乡村休闲旅游</w:t>
      </w:r>
      <w:r>
        <w:rPr>
          <w:rFonts w:hint="eastAsia" w:ascii="仿宋" w:hAnsi="仿宋" w:cs="仿宋"/>
          <w:color w:val="000000"/>
          <w:sz w:val="30"/>
          <w:szCs w:val="30"/>
        </w:rPr>
        <w:t>开发层次较低，以采摘、垂钓、赏花等简单项目为主，更为深入的科普观光、文化教育、农事体验、研学康养等功能未得到充分开发，加上近年来受大棚房整治的影响，休闲农业发展受限。</w:t>
      </w:r>
    </w:p>
    <w:p>
      <w:pPr>
        <w:pStyle w:val="4"/>
        <w:adjustRightInd w:val="0"/>
        <w:snapToGrid w:val="0"/>
        <w:spacing w:line="596" w:lineRule="exact"/>
        <w:rPr>
          <w:rFonts w:ascii="楷体_GB2312" w:hAnsi="楷体_GB2312" w:eastAsia="楷体_GB2312" w:cs="楷体_GB2312"/>
          <w:color w:val="000000"/>
          <w:szCs w:val="32"/>
        </w:rPr>
      </w:pPr>
      <w:bookmarkStart w:id="198" w:name="_Toc25080"/>
      <w:bookmarkStart w:id="199" w:name="_Toc27769"/>
      <w:bookmarkStart w:id="200" w:name="_Toc27964"/>
      <w:bookmarkStart w:id="201" w:name="_Toc4641"/>
      <w:bookmarkStart w:id="202" w:name="_Toc31138"/>
      <w:bookmarkStart w:id="203" w:name="_Toc1208"/>
      <w:bookmarkStart w:id="204" w:name="_Toc13450"/>
      <w:r>
        <w:rPr>
          <w:rFonts w:hint="eastAsia" w:ascii="楷体_GB2312" w:hAnsi="楷体_GB2312" w:eastAsia="楷体_GB2312" w:cs="楷体_GB2312"/>
          <w:color w:val="000000"/>
          <w:szCs w:val="32"/>
        </w:rPr>
        <w:t>第四节 发展环境总结</w:t>
      </w:r>
      <w:bookmarkEnd w:id="198"/>
      <w:bookmarkEnd w:id="199"/>
      <w:bookmarkEnd w:id="200"/>
      <w:bookmarkEnd w:id="201"/>
      <w:bookmarkEnd w:id="202"/>
      <w:bookmarkEnd w:id="203"/>
      <w:bookmarkEnd w:id="204"/>
    </w:p>
    <w:p>
      <w:pPr>
        <w:adjustRightInd w:val="0"/>
        <w:snapToGrid w:val="0"/>
        <w:spacing w:line="596" w:lineRule="exact"/>
        <w:ind w:firstLine="600"/>
        <w:rPr>
          <w:rFonts w:ascii="仿宋" w:hAnsi="仿宋" w:cs="仿宋"/>
          <w:color w:val="000000"/>
          <w:sz w:val="30"/>
          <w:szCs w:val="30"/>
        </w:rPr>
      </w:pPr>
    </w:p>
    <w:p>
      <w:pPr>
        <w:adjustRightInd w:val="0"/>
        <w:snapToGrid w:val="0"/>
        <w:spacing w:line="596" w:lineRule="exact"/>
        <w:ind w:firstLine="600"/>
        <w:rPr>
          <w:color w:val="000000"/>
          <w:sz w:val="30"/>
          <w:szCs w:val="30"/>
        </w:rPr>
      </w:pPr>
      <w:r>
        <w:rPr>
          <w:rFonts w:hint="eastAsia" w:ascii="仿宋" w:hAnsi="仿宋" w:cs="仿宋"/>
          <w:color w:val="000000"/>
          <w:sz w:val="30"/>
          <w:szCs w:val="30"/>
        </w:rPr>
        <w:t>首先，从全省的大发展环境上看，在乡村振兴战略深入实施的背景下，“十四五”期间，各类资源要素将涌入农村，宁德市特色现代农业发展空间广阔；其次，从闽东北协同发展区的建设上看，宁德作为山地绿色农业和山海协作发展的重要试点，有利于做强做优特色现代农业，更好地推动乡村振兴走上新台阶；最后，从周边兄弟地市的竞争上看，宁德的农林牧渔业总产值从“十三五”初期到“十三五”末期始终保持在全省中游水平。“十三五”以来，全市特色现代农业发展势头迅猛，如能保持目前的发展态势，“十四五”末期有较大机会成为全省第三农业大市。与省内其他地市相比，宁德的优势在于山地农业和山海协作的良好基础，古田食用菌、福鼎白茶、福安葡萄、宁德大黄鱼等特色农产品在农产品市场上享有明显的比较优势。“十四五”时期，全市应继续加强绿色山地农业建设，持续推进山海协作促进产业融合发展，推广“云技术”在农业中的应用，大力发展数字农业。当前我市已迈入高质量发展的“快车道”，今后一个时期宁德四大主导产业的高成长性、强带动力优势格外凸显，必将辐射带动乡村产业转型升级与融合发展。</w:t>
      </w:r>
    </w:p>
    <w:p>
      <w:pPr>
        <w:adjustRightInd w:val="0"/>
        <w:snapToGrid w:val="0"/>
        <w:spacing w:line="596" w:lineRule="exact"/>
        <w:ind w:firstLine="600"/>
      </w:pPr>
      <w:r>
        <w:rPr>
          <w:rFonts w:hint="eastAsia" w:ascii="仿宋" w:hAnsi="仿宋" w:eastAsia="仿宋" w:cs="仿宋"/>
          <w:color w:val="000000"/>
          <w:sz w:val="30"/>
          <w:szCs w:val="30"/>
        </w:rPr>
        <w:br w:type="page"/>
      </w:r>
      <w:bookmarkStart w:id="205" w:name="_Toc21445"/>
      <w:bookmarkStart w:id="206" w:name="_Toc21385"/>
      <w:bookmarkStart w:id="207" w:name="_Toc4470"/>
      <w:bookmarkStart w:id="208" w:name="_Toc20767"/>
      <w:bookmarkStart w:id="209" w:name="_Toc4336"/>
      <w:bookmarkStart w:id="210" w:name="_Toc7390"/>
      <w:bookmarkStart w:id="211" w:name="_Toc24226"/>
      <w:bookmarkStart w:id="212" w:name="_Toc18801"/>
      <w:bookmarkStart w:id="213" w:name="_Toc21980"/>
    </w:p>
    <w:p>
      <w:pPr>
        <w:pStyle w:val="3"/>
        <w:adjustRightInd w:val="0"/>
        <w:snapToGrid w:val="0"/>
        <w:spacing w:before="0" w:after="0" w:line="596" w:lineRule="exact"/>
        <w:rPr>
          <w:b w:val="0"/>
          <w:bCs/>
          <w:color w:val="000000"/>
          <w:sz w:val="32"/>
        </w:rPr>
      </w:pPr>
      <w:bookmarkStart w:id="214" w:name="_Toc21712"/>
      <w:r>
        <w:rPr>
          <w:rFonts w:hint="eastAsia"/>
          <w:b w:val="0"/>
          <w:bCs/>
          <w:color w:val="000000"/>
          <w:sz w:val="32"/>
        </w:rPr>
        <w:t>第二章　指导思想与发展目标</w:t>
      </w:r>
      <w:bookmarkEnd w:id="205"/>
      <w:bookmarkEnd w:id="206"/>
      <w:bookmarkEnd w:id="207"/>
      <w:bookmarkEnd w:id="208"/>
      <w:bookmarkEnd w:id="209"/>
      <w:bookmarkEnd w:id="210"/>
      <w:bookmarkEnd w:id="211"/>
      <w:bookmarkEnd w:id="212"/>
      <w:bookmarkEnd w:id="213"/>
      <w:bookmarkEnd w:id="214"/>
    </w:p>
    <w:p>
      <w:pPr>
        <w:adjustRightInd w:val="0"/>
        <w:snapToGrid w:val="0"/>
        <w:spacing w:line="596" w:lineRule="exact"/>
        <w:ind w:firstLine="640"/>
      </w:pPr>
      <w:bookmarkStart w:id="215" w:name="_Toc14274"/>
      <w:bookmarkStart w:id="216" w:name="_Toc14747"/>
      <w:bookmarkStart w:id="217" w:name="_Toc16021"/>
      <w:bookmarkStart w:id="218" w:name="_Toc11154"/>
      <w:bookmarkStart w:id="219" w:name="_Toc5067"/>
      <w:bookmarkStart w:id="220" w:name="_Toc28774"/>
      <w:bookmarkStart w:id="221" w:name="_Toc12323"/>
      <w:bookmarkStart w:id="222" w:name="_Toc24644"/>
      <w:bookmarkStart w:id="223" w:name="_Toc5173"/>
      <w:bookmarkStart w:id="224" w:name="_Toc5086"/>
    </w:p>
    <w:p>
      <w:pPr>
        <w:pStyle w:val="4"/>
        <w:adjustRightInd w:val="0"/>
        <w:snapToGrid w:val="0"/>
        <w:spacing w:line="596" w:lineRule="exact"/>
        <w:rPr>
          <w:rFonts w:ascii="楷体_GB2312" w:hAnsi="楷体_GB2312" w:eastAsia="楷体_GB2312" w:cs="楷体_GB2312"/>
          <w:color w:val="000000"/>
          <w:szCs w:val="32"/>
        </w:rPr>
      </w:pPr>
      <w:bookmarkStart w:id="225" w:name="_Toc907"/>
      <w:r>
        <w:rPr>
          <w:rFonts w:hint="eastAsia" w:ascii="楷体_GB2312" w:hAnsi="楷体_GB2312" w:eastAsia="楷体_GB2312" w:cs="楷体_GB2312"/>
          <w:color w:val="000000"/>
          <w:szCs w:val="32"/>
        </w:rPr>
        <w:t>第一节　指导思想</w:t>
      </w:r>
      <w:bookmarkEnd w:id="215"/>
      <w:bookmarkEnd w:id="216"/>
      <w:bookmarkEnd w:id="217"/>
      <w:bookmarkEnd w:id="218"/>
      <w:bookmarkEnd w:id="219"/>
      <w:bookmarkEnd w:id="220"/>
      <w:bookmarkEnd w:id="221"/>
      <w:bookmarkEnd w:id="222"/>
      <w:bookmarkEnd w:id="223"/>
      <w:bookmarkEnd w:id="224"/>
      <w:bookmarkEnd w:id="225"/>
    </w:p>
    <w:p>
      <w:pPr>
        <w:adjustRightInd w:val="0"/>
        <w:snapToGrid w:val="0"/>
        <w:spacing w:line="596" w:lineRule="exact"/>
        <w:ind w:firstLine="600"/>
        <w:rPr>
          <w:rFonts w:ascii="仿宋_GB2312" w:hAnsi="仿宋_GB2312" w:cs="仿宋_GB2312"/>
          <w:color w:val="000000"/>
          <w:sz w:val="30"/>
          <w:szCs w:val="30"/>
        </w:rPr>
      </w:pP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坚持以习近平新时代中国特色社会主义思想为指导，全面贯彻党的十九大和十九届</w:t>
      </w:r>
      <w:r>
        <w:rPr>
          <w:rFonts w:hint="eastAsia" w:ascii="仿宋_GB2312" w:hAnsi="仿宋_GB2312" w:cs="仿宋_GB2312"/>
          <w:color w:val="000000"/>
          <w:sz w:val="30"/>
          <w:szCs w:val="30"/>
          <w:lang w:val="en-US" w:eastAsia="zh-CN"/>
        </w:rPr>
        <w:t>历次</w:t>
      </w:r>
      <w:r>
        <w:rPr>
          <w:rFonts w:hint="eastAsia" w:ascii="仿宋_GB2312" w:hAnsi="仿宋_GB2312" w:cs="仿宋_GB2312"/>
          <w:color w:val="000000"/>
          <w:sz w:val="30"/>
          <w:szCs w:val="30"/>
        </w:rPr>
        <w:t>全会精神，深入学习贯彻习近平总书记“七一”重要讲话精神和对福建、对宁德工作系列重要讲话重要指示精神。把握稳中求进的工作总基调，立足新发展阶段，贯彻新发展理念，积极服务和深度融入新发展格局，以实施乡村振兴战略为总抓手，以全方位推进高质量发展超越为主题，以深化农业供给侧结构性改革为主线，</w:t>
      </w:r>
      <w:r>
        <w:rPr>
          <w:rFonts w:hint="eastAsia" w:ascii="仿宋_GB2312" w:hAnsi="仿宋_GB2312" w:cs="仿宋_GB2312"/>
          <w:color w:val="000000"/>
          <w:spacing w:val="-4"/>
          <w:sz w:val="30"/>
          <w:szCs w:val="30"/>
          <w:shd w:val="clear" w:color="auto" w:fill="FFFFFF"/>
        </w:rPr>
        <w:t>以改革创新为根本动力，</w:t>
      </w:r>
      <w:r>
        <w:rPr>
          <w:rFonts w:hint="eastAsia" w:ascii="仿宋_GB2312" w:hAnsi="仿宋_GB2312" w:cs="仿宋_GB2312"/>
          <w:color w:val="000000"/>
          <w:sz w:val="30"/>
          <w:szCs w:val="30"/>
        </w:rPr>
        <w:t>围绕创建“全国乡村振兴样板区”总体目标，强化“米袋子”“菜篮子”两大保障，聚焦精准定位、转型升级、融合发展“三篇文章”，构建“8+1”特色现代农业产业体系，念好新时代“山海经”，加快建设闽东特色现代农业集聚区、闽东山地农业绿色发展先行区、山海农业融合发展示范区、数字农业创新应用基地等“三区一基</w:t>
      </w:r>
      <w:r>
        <w:rPr>
          <w:rFonts w:hint="eastAsia"/>
          <w:color w:val="000000"/>
          <w:sz w:val="30"/>
          <w:szCs w:val="30"/>
        </w:rPr>
        <w:t>地”，</w:t>
      </w:r>
      <w:bookmarkStart w:id="226" w:name="_Toc7573"/>
      <w:bookmarkStart w:id="227" w:name="_Toc23927"/>
      <w:bookmarkStart w:id="228" w:name="_Toc3850"/>
      <w:r>
        <w:rPr>
          <w:rFonts w:hint="eastAsia" w:ascii="仿宋_GB2312" w:hAnsi="仿宋_GB2312" w:cs="仿宋_GB2312"/>
          <w:color w:val="000000"/>
          <w:sz w:val="30"/>
          <w:szCs w:val="30"/>
        </w:rPr>
        <w:t>全面推进特色现代农业绿色发展、融合发展、创新发展，</w:t>
      </w:r>
      <w:r>
        <w:rPr>
          <w:rFonts w:hint="eastAsia"/>
          <w:color w:val="000000"/>
          <w:sz w:val="30"/>
          <w:szCs w:val="30"/>
        </w:rPr>
        <w:t>为走出一条具有闽东特色的乡村振兴之路，奋力谱写全面建设社会主义现代化国家的宁德篇章提供有力的产业支撑。</w:t>
      </w:r>
    </w:p>
    <w:p>
      <w:pPr>
        <w:adjustRightInd w:val="0"/>
        <w:snapToGrid w:val="0"/>
        <w:spacing w:line="596" w:lineRule="exact"/>
        <w:ind w:firstLine="640"/>
        <w:rPr>
          <w:rFonts w:ascii="楷体_GB2312" w:hAnsi="楷体_GB2312" w:eastAsia="楷体_GB2312" w:cs="楷体_GB2312"/>
          <w:color w:val="000000"/>
          <w:szCs w:val="32"/>
        </w:rPr>
      </w:pPr>
      <w:bookmarkStart w:id="229" w:name="_Toc19032"/>
      <w:bookmarkStart w:id="230" w:name="_Toc18911"/>
      <w:bookmarkStart w:id="231" w:name="_Toc14993"/>
      <w:bookmarkStart w:id="232" w:name="_Toc7632"/>
      <w:bookmarkStart w:id="233" w:name="_Toc14583"/>
      <w:bookmarkStart w:id="234" w:name="_Toc2717"/>
      <w:bookmarkStart w:id="235" w:name="_Toc29509"/>
      <w:bookmarkStart w:id="236" w:name="_Toc32193"/>
    </w:p>
    <w:p>
      <w:pPr>
        <w:adjustRightInd w:val="0"/>
        <w:snapToGrid w:val="0"/>
        <w:spacing w:line="596" w:lineRule="exact"/>
        <w:ind w:firstLine="640"/>
        <w:rPr>
          <w:rFonts w:ascii="楷体_GB2312" w:hAnsi="楷体_GB2312" w:eastAsia="楷体_GB2312" w:cs="楷体_GB2312"/>
          <w:color w:val="000000"/>
          <w:szCs w:val="32"/>
        </w:rPr>
      </w:pPr>
    </w:p>
    <w:p>
      <w:pPr>
        <w:pStyle w:val="4"/>
        <w:adjustRightInd w:val="0"/>
        <w:snapToGrid w:val="0"/>
        <w:spacing w:line="596" w:lineRule="exact"/>
        <w:rPr>
          <w:rFonts w:ascii="楷体_GB2312" w:hAnsi="楷体_GB2312" w:eastAsia="楷体_GB2312" w:cs="楷体_GB2312"/>
          <w:color w:val="000000"/>
          <w:szCs w:val="32"/>
        </w:rPr>
      </w:pPr>
      <w:r>
        <w:rPr>
          <w:rFonts w:hint="eastAsia" w:ascii="楷体_GB2312" w:hAnsi="楷体_GB2312" w:eastAsia="楷体_GB2312" w:cs="楷体_GB2312"/>
          <w:color w:val="000000"/>
          <w:szCs w:val="32"/>
        </w:rPr>
        <w:t>第二节　基本原则</w:t>
      </w:r>
      <w:bookmarkEnd w:id="226"/>
      <w:bookmarkEnd w:id="227"/>
      <w:bookmarkEnd w:id="228"/>
      <w:bookmarkEnd w:id="229"/>
      <w:bookmarkEnd w:id="230"/>
      <w:bookmarkEnd w:id="231"/>
      <w:bookmarkEnd w:id="232"/>
      <w:bookmarkEnd w:id="233"/>
      <w:bookmarkEnd w:id="234"/>
      <w:bookmarkEnd w:id="235"/>
      <w:bookmarkEnd w:id="236"/>
    </w:p>
    <w:p>
      <w:pPr>
        <w:adjustRightInd w:val="0"/>
        <w:snapToGrid w:val="0"/>
        <w:spacing w:line="596" w:lineRule="exact"/>
        <w:ind w:firstLine="640"/>
        <w:rPr>
          <w:rFonts w:ascii="楷体_GB2312" w:hAnsi="楷体_GB2312" w:eastAsia="楷体_GB2312" w:cs="楷体_GB2312"/>
          <w:color w:val="000000"/>
          <w:szCs w:val="32"/>
        </w:rPr>
      </w:pPr>
      <w:bookmarkStart w:id="237" w:name="_Toc28201"/>
      <w:bookmarkStart w:id="238" w:name="_Toc21578"/>
      <w:bookmarkStart w:id="239" w:name="_Toc24617"/>
      <w:bookmarkStart w:id="240" w:name="_Toc2146"/>
      <w:bookmarkStart w:id="241" w:name="_Toc10777"/>
      <w:bookmarkStart w:id="242" w:name="_Toc23808"/>
      <w:bookmarkStart w:id="243" w:name="_Toc654"/>
    </w:p>
    <w:p>
      <w:pPr>
        <w:pStyle w:val="5"/>
        <w:adjustRightInd w:val="0"/>
        <w:snapToGrid w:val="0"/>
        <w:spacing w:line="596" w:lineRule="exact"/>
        <w:ind w:firstLine="602"/>
        <w:rPr>
          <w:color w:val="000000"/>
          <w:sz w:val="30"/>
          <w:szCs w:val="30"/>
        </w:rPr>
      </w:pPr>
      <w:bookmarkStart w:id="244" w:name="_Toc15302"/>
      <w:r>
        <w:rPr>
          <w:rFonts w:hint="eastAsia" w:ascii="黑体" w:hAnsi="黑体" w:eastAsia="黑体" w:cs="黑体"/>
          <w:b w:val="0"/>
          <w:bCs/>
          <w:color w:val="000000"/>
          <w:sz w:val="30"/>
          <w:szCs w:val="30"/>
        </w:rPr>
        <w:t>一、坚持立农为农</w:t>
      </w:r>
      <w:bookmarkEnd w:id="237"/>
      <w:bookmarkEnd w:id="238"/>
      <w:bookmarkEnd w:id="239"/>
      <w:bookmarkEnd w:id="240"/>
      <w:bookmarkEnd w:id="241"/>
      <w:bookmarkEnd w:id="242"/>
      <w:bookmarkEnd w:id="243"/>
      <w:bookmarkEnd w:id="244"/>
    </w:p>
    <w:p>
      <w:pPr>
        <w:adjustRightInd w:val="0"/>
        <w:snapToGrid w:val="0"/>
        <w:spacing w:line="596" w:lineRule="exact"/>
        <w:ind w:firstLine="600"/>
        <w:rPr>
          <w:color w:val="000000"/>
          <w:sz w:val="30"/>
          <w:szCs w:val="30"/>
        </w:rPr>
      </w:pPr>
      <w:r>
        <w:rPr>
          <w:rFonts w:hint="eastAsia"/>
          <w:color w:val="000000"/>
          <w:sz w:val="30"/>
          <w:szCs w:val="30"/>
        </w:rPr>
        <w:t>以农业农村资源为依托，发展优势明显、特色鲜明的乡村产业，把二三产业留在乡村，把就业创业机会和产业链增值收益更多留给农民。</w:t>
      </w:r>
    </w:p>
    <w:p>
      <w:pPr>
        <w:pStyle w:val="5"/>
        <w:adjustRightInd w:val="0"/>
        <w:snapToGrid w:val="0"/>
        <w:spacing w:line="596" w:lineRule="exact"/>
        <w:ind w:right="0" w:firstLine="602"/>
        <w:rPr>
          <w:rFonts w:hint="eastAsia" w:ascii="黑体" w:hAnsi="黑体" w:eastAsia="黑体" w:cs="黑体"/>
          <w:b w:val="0"/>
          <w:bCs/>
          <w:color w:val="000000"/>
          <w:sz w:val="30"/>
          <w:szCs w:val="30"/>
        </w:rPr>
      </w:pPr>
      <w:bookmarkStart w:id="245" w:name="_Toc25825"/>
      <w:bookmarkStart w:id="246" w:name="_Toc22992"/>
      <w:bookmarkStart w:id="247" w:name="_Toc2884"/>
      <w:bookmarkStart w:id="248" w:name="_Toc29584"/>
      <w:bookmarkStart w:id="249" w:name="_Toc29570"/>
      <w:bookmarkStart w:id="250" w:name="_Toc3562"/>
      <w:bookmarkStart w:id="251" w:name="_Toc20888"/>
      <w:bookmarkStart w:id="252" w:name="_Toc8730"/>
      <w:r>
        <w:rPr>
          <w:rFonts w:hint="eastAsia" w:ascii="黑体" w:hAnsi="黑体" w:eastAsia="黑体" w:cs="黑体"/>
          <w:b w:val="0"/>
          <w:bCs/>
          <w:color w:val="000000"/>
          <w:sz w:val="30"/>
          <w:szCs w:val="30"/>
        </w:rPr>
        <w:t>二、坚持绿色引领</w:t>
      </w:r>
      <w:bookmarkEnd w:id="245"/>
      <w:bookmarkEnd w:id="246"/>
      <w:bookmarkEnd w:id="247"/>
      <w:bookmarkEnd w:id="248"/>
      <w:bookmarkEnd w:id="249"/>
      <w:bookmarkEnd w:id="250"/>
      <w:bookmarkEnd w:id="251"/>
      <w:bookmarkEnd w:id="252"/>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践行“绿水青山就是金山银山”理念，促进生产生活生态协调发展。健全质量标准体系，培育绿色优质品牌，走资源持续利用与产业协调融合的绿色安全农业发展道路。</w:t>
      </w:r>
    </w:p>
    <w:p>
      <w:pPr>
        <w:pStyle w:val="5"/>
        <w:adjustRightInd w:val="0"/>
        <w:snapToGrid w:val="0"/>
        <w:spacing w:line="596" w:lineRule="exact"/>
        <w:ind w:right="0" w:firstLine="602"/>
        <w:rPr>
          <w:rFonts w:hint="eastAsia" w:ascii="黑体" w:hAnsi="黑体" w:eastAsia="黑体" w:cs="黑体"/>
          <w:b w:val="0"/>
          <w:bCs/>
          <w:color w:val="000000"/>
          <w:sz w:val="30"/>
          <w:szCs w:val="30"/>
        </w:rPr>
      </w:pPr>
      <w:bookmarkStart w:id="253" w:name="_Toc8417"/>
      <w:bookmarkStart w:id="254" w:name="_Toc28248"/>
      <w:bookmarkStart w:id="255" w:name="_Toc4012"/>
      <w:bookmarkStart w:id="256" w:name="_Toc17618"/>
      <w:bookmarkStart w:id="257" w:name="_Toc12282"/>
      <w:bookmarkStart w:id="258" w:name="_Toc9773"/>
      <w:bookmarkStart w:id="259" w:name="_Toc23289"/>
      <w:bookmarkStart w:id="260" w:name="_Toc14924"/>
      <w:r>
        <w:rPr>
          <w:rStyle w:val="19"/>
          <w:rFonts w:hint="eastAsia" w:ascii="黑体" w:hAnsi="黑体" w:eastAsia="黑体" w:cs="黑体"/>
          <w:b w:val="0"/>
          <w:bCs/>
          <w:color w:val="000000"/>
          <w:sz w:val="30"/>
          <w:szCs w:val="30"/>
        </w:rPr>
        <w:t>三、坚持补齐短板</w:t>
      </w:r>
      <w:bookmarkEnd w:id="253"/>
      <w:bookmarkEnd w:id="254"/>
      <w:bookmarkEnd w:id="255"/>
      <w:bookmarkEnd w:id="256"/>
      <w:bookmarkEnd w:id="257"/>
      <w:bookmarkEnd w:id="258"/>
      <w:bookmarkEnd w:id="259"/>
      <w:bookmarkEnd w:id="260"/>
    </w:p>
    <w:p>
      <w:pPr>
        <w:numPr>
          <w:ilvl w:val="0"/>
          <w:numId w:val="0"/>
        </w:numPr>
        <w:adjustRightInd w:val="0"/>
        <w:snapToGrid w:val="0"/>
        <w:spacing w:line="596" w:lineRule="exact"/>
        <w:ind w:firstLine="600" w:firstLineChars="200"/>
        <w:rPr>
          <w:rFonts w:ascii="仿宋_GB2312" w:hAnsi="仿宋_GB2312" w:cs="仿宋_GB2312"/>
          <w:color w:val="000000"/>
          <w:sz w:val="30"/>
          <w:szCs w:val="30"/>
        </w:rPr>
      </w:pPr>
      <w:r>
        <w:rPr>
          <w:rFonts w:hint="eastAsia" w:ascii="仿宋_GB2312" w:hAnsi="仿宋_GB2312" w:cs="仿宋_GB2312"/>
          <w:color w:val="000000"/>
          <w:sz w:val="30"/>
          <w:szCs w:val="30"/>
        </w:rPr>
        <w:t>以农业供给侧结构性改革为主线，加快构建特色现代农业标准体系、加工体系、物流体系、服务体系和品牌体系，补齐特色现代农业发展短板。</w:t>
      </w:r>
    </w:p>
    <w:p>
      <w:pPr>
        <w:pStyle w:val="5"/>
        <w:adjustRightInd w:val="0"/>
        <w:snapToGrid w:val="0"/>
        <w:spacing w:line="596" w:lineRule="exact"/>
        <w:ind w:right="0" w:firstLine="602"/>
        <w:rPr>
          <w:rFonts w:hint="eastAsia" w:ascii="黑体" w:hAnsi="黑体" w:eastAsia="黑体" w:cs="黑体"/>
          <w:b w:val="0"/>
          <w:bCs/>
          <w:color w:val="000000"/>
          <w:sz w:val="30"/>
          <w:szCs w:val="30"/>
        </w:rPr>
      </w:pPr>
      <w:bookmarkStart w:id="261" w:name="_Toc10749"/>
      <w:bookmarkStart w:id="262" w:name="_Toc19228"/>
      <w:bookmarkStart w:id="263" w:name="_Toc9610"/>
      <w:bookmarkStart w:id="264" w:name="_Toc9875"/>
      <w:bookmarkStart w:id="265" w:name="_Toc30555"/>
      <w:bookmarkStart w:id="266" w:name="_Toc19708"/>
      <w:bookmarkStart w:id="267" w:name="_Toc16284"/>
      <w:bookmarkStart w:id="268" w:name="_Toc12994"/>
      <w:r>
        <w:rPr>
          <w:rFonts w:hint="eastAsia" w:ascii="黑体" w:hAnsi="黑体" w:eastAsia="黑体" w:cs="黑体"/>
          <w:b w:val="0"/>
          <w:bCs/>
          <w:color w:val="000000"/>
          <w:sz w:val="30"/>
          <w:szCs w:val="30"/>
        </w:rPr>
        <w:t>四、坚持产业融合</w:t>
      </w:r>
      <w:bookmarkEnd w:id="261"/>
      <w:bookmarkEnd w:id="262"/>
      <w:bookmarkEnd w:id="263"/>
      <w:bookmarkEnd w:id="264"/>
      <w:bookmarkEnd w:id="265"/>
      <w:bookmarkEnd w:id="266"/>
      <w:bookmarkEnd w:id="267"/>
      <w:bookmarkEnd w:id="268"/>
    </w:p>
    <w:p>
      <w:pPr>
        <w:numPr>
          <w:ilvl w:val="0"/>
          <w:numId w:val="0"/>
        </w:numPr>
        <w:adjustRightInd w:val="0"/>
        <w:snapToGrid w:val="0"/>
        <w:spacing w:line="596" w:lineRule="exact"/>
        <w:ind w:firstLine="600" w:firstLineChars="200"/>
        <w:rPr>
          <w:rFonts w:ascii="仿宋_GB2312" w:hAnsi="仿宋_GB2312" w:cs="仿宋_GB2312"/>
          <w:color w:val="000000"/>
          <w:sz w:val="30"/>
          <w:szCs w:val="30"/>
        </w:rPr>
      </w:pPr>
      <w:r>
        <w:rPr>
          <w:rFonts w:hint="eastAsia" w:ascii="仿宋_GB2312" w:hAnsi="仿宋_GB2312" w:cs="仿宋_GB2312"/>
          <w:color w:val="000000"/>
          <w:sz w:val="30"/>
          <w:szCs w:val="30"/>
        </w:rPr>
        <w:t>注重以现代化工业思维和服务业人本理念发展现代农业，加快农业与现代产业要素跨界配置，推动一二三产融合发展、新技术新业态新模式融合创新、产业链供应链价值链融合壮大。</w:t>
      </w:r>
    </w:p>
    <w:p>
      <w:pPr>
        <w:pStyle w:val="5"/>
        <w:adjustRightInd w:val="0"/>
        <w:snapToGrid w:val="0"/>
        <w:spacing w:line="596" w:lineRule="exact"/>
        <w:ind w:right="0" w:firstLine="602"/>
        <w:rPr>
          <w:rFonts w:hint="eastAsia" w:ascii="黑体" w:hAnsi="黑体" w:eastAsia="黑体" w:cs="黑体"/>
          <w:b w:val="0"/>
          <w:bCs/>
          <w:color w:val="000000"/>
          <w:sz w:val="30"/>
          <w:szCs w:val="30"/>
        </w:rPr>
      </w:pPr>
      <w:bookmarkStart w:id="269" w:name="_Toc22293"/>
      <w:bookmarkStart w:id="270" w:name="_Toc4168"/>
      <w:bookmarkStart w:id="271" w:name="_Toc7959"/>
      <w:bookmarkStart w:id="272" w:name="_Toc27679"/>
      <w:bookmarkStart w:id="273" w:name="_Toc29832"/>
      <w:bookmarkStart w:id="274" w:name="_Toc16016"/>
      <w:bookmarkStart w:id="275" w:name="_Toc16510"/>
      <w:bookmarkStart w:id="276" w:name="_Toc9545"/>
      <w:r>
        <w:rPr>
          <w:rFonts w:hint="eastAsia" w:ascii="黑体" w:hAnsi="黑体" w:eastAsia="黑体" w:cs="黑体"/>
          <w:b w:val="0"/>
          <w:bCs/>
          <w:color w:val="000000"/>
          <w:sz w:val="30"/>
          <w:szCs w:val="30"/>
        </w:rPr>
        <w:t>五、坚持市场导向</w:t>
      </w:r>
      <w:bookmarkEnd w:id="269"/>
      <w:bookmarkEnd w:id="270"/>
      <w:bookmarkEnd w:id="271"/>
      <w:bookmarkEnd w:id="272"/>
      <w:bookmarkEnd w:id="273"/>
      <w:bookmarkEnd w:id="274"/>
      <w:bookmarkEnd w:id="275"/>
      <w:bookmarkEnd w:id="276"/>
    </w:p>
    <w:p>
      <w:pPr>
        <w:numPr>
          <w:ilvl w:val="0"/>
          <w:numId w:val="0"/>
        </w:numPr>
        <w:adjustRightInd w:val="0"/>
        <w:snapToGrid w:val="0"/>
        <w:spacing w:line="596" w:lineRule="exact"/>
        <w:ind w:firstLine="600" w:firstLineChars="200"/>
        <w:rPr>
          <w:rFonts w:ascii="仿宋_GB2312" w:hAnsi="仿宋_GB2312" w:cs="仿宋_GB2312"/>
          <w:color w:val="000000"/>
          <w:sz w:val="30"/>
          <w:szCs w:val="30"/>
        </w:rPr>
      </w:pPr>
      <w:r>
        <w:rPr>
          <w:rFonts w:hint="eastAsia" w:ascii="仿宋_GB2312" w:hAnsi="仿宋_GB2312" w:cs="仿宋_GB2312"/>
          <w:color w:val="000000"/>
          <w:sz w:val="30"/>
          <w:szCs w:val="30"/>
        </w:rPr>
        <w:t>充分发挥市场在资源配置中的决定性作用，激活要素、激活市场、激活主体，以乡村企业为载体，引导资源要素更多地向乡村汇聚，壮大农业农村经济。 </w:t>
      </w:r>
    </w:p>
    <w:p>
      <w:pPr>
        <w:pStyle w:val="5"/>
        <w:adjustRightInd w:val="0"/>
        <w:snapToGrid w:val="0"/>
        <w:spacing w:line="596" w:lineRule="exact"/>
        <w:ind w:right="0" w:firstLine="602"/>
        <w:rPr>
          <w:rFonts w:hint="eastAsia" w:ascii="黑体" w:hAnsi="黑体" w:eastAsia="黑体" w:cs="黑体"/>
          <w:b w:val="0"/>
          <w:bCs/>
          <w:color w:val="000000"/>
          <w:sz w:val="30"/>
          <w:szCs w:val="30"/>
        </w:rPr>
      </w:pPr>
      <w:bookmarkStart w:id="277" w:name="_Toc22157"/>
      <w:bookmarkStart w:id="278" w:name="_Toc27396"/>
      <w:bookmarkStart w:id="279" w:name="_Toc26502"/>
      <w:bookmarkStart w:id="280" w:name="_Toc18221"/>
      <w:bookmarkStart w:id="281" w:name="_Toc11597"/>
      <w:bookmarkStart w:id="282" w:name="_Toc17126"/>
      <w:bookmarkStart w:id="283" w:name="_Toc812"/>
      <w:bookmarkStart w:id="284" w:name="_Toc10590"/>
      <w:bookmarkStart w:id="285" w:name="_Toc30196"/>
      <w:bookmarkStart w:id="286" w:name="_Toc5453"/>
      <w:bookmarkStart w:id="287" w:name="_Toc11783"/>
      <w:r>
        <w:rPr>
          <w:rFonts w:hint="eastAsia" w:ascii="黑体" w:hAnsi="黑体" w:eastAsia="黑体" w:cs="黑体"/>
          <w:b w:val="0"/>
          <w:bCs/>
          <w:color w:val="000000"/>
          <w:sz w:val="30"/>
          <w:szCs w:val="30"/>
        </w:rPr>
        <w:t>六、坚持创新驱动</w:t>
      </w:r>
      <w:bookmarkEnd w:id="277"/>
      <w:bookmarkEnd w:id="278"/>
      <w:bookmarkEnd w:id="279"/>
      <w:bookmarkEnd w:id="280"/>
      <w:bookmarkEnd w:id="281"/>
      <w:bookmarkEnd w:id="282"/>
      <w:bookmarkEnd w:id="283"/>
      <w:bookmarkEnd w:id="284"/>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坚持农业科技创新驱动发展，利用现代科技进步成果，提高农业科技装备，提升乡村产业发展科技含量。创新机制和业态模式，增强乡村产业发展活力。</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Cs w:val="32"/>
        </w:rPr>
      </w:pPr>
      <w:bookmarkStart w:id="288" w:name="_Toc8021"/>
      <w:bookmarkStart w:id="289" w:name="_Toc448"/>
      <w:bookmarkStart w:id="290" w:name="_Toc5958"/>
      <w:bookmarkStart w:id="291" w:name="_Toc8741"/>
      <w:bookmarkStart w:id="292" w:name="_Toc18850"/>
      <w:bookmarkStart w:id="293" w:name="_Toc30532"/>
      <w:bookmarkStart w:id="294" w:name="_Toc16803"/>
      <w:bookmarkStart w:id="295" w:name="_Toc1326"/>
      <w:r>
        <w:rPr>
          <w:rFonts w:hint="eastAsia" w:ascii="楷体_GB2312" w:hAnsi="楷体_GB2312" w:eastAsia="楷体_GB2312" w:cs="楷体_GB2312"/>
          <w:color w:val="000000"/>
          <w:szCs w:val="32"/>
        </w:rPr>
        <w:t>第三节　发展目标</w:t>
      </w:r>
      <w:bookmarkEnd w:id="285"/>
      <w:bookmarkEnd w:id="286"/>
      <w:bookmarkEnd w:id="287"/>
      <w:bookmarkEnd w:id="288"/>
      <w:bookmarkEnd w:id="289"/>
      <w:bookmarkEnd w:id="290"/>
      <w:bookmarkEnd w:id="291"/>
      <w:bookmarkEnd w:id="292"/>
      <w:bookmarkEnd w:id="293"/>
      <w:bookmarkEnd w:id="294"/>
      <w:bookmarkEnd w:id="295"/>
    </w:p>
    <w:p>
      <w:pPr>
        <w:adjustRightInd w:val="0"/>
        <w:snapToGrid w:val="0"/>
        <w:spacing w:line="596" w:lineRule="exact"/>
        <w:ind w:firstLine="600"/>
        <w:rPr>
          <w:rFonts w:ascii="仿宋_GB2312" w:hAnsi="仿宋_GB2312" w:cs="仿宋_GB2312"/>
          <w:color w:val="000000"/>
          <w:sz w:val="30"/>
          <w:szCs w:val="30"/>
        </w:rPr>
      </w:pPr>
    </w:p>
    <w:p>
      <w:pPr>
        <w:adjustRightInd w:val="0"/>
        <w:snapToGrid w:val="0"/>
        <w:spacing w:line="596" w:lineRule="exact"/>
        <w:ind w:firstLine="600"/>
        <w:rPr>
          <w:rFonts w:ascii="仿宋_GB2312" w:hAnsi="仿宋_GB2312" w:cs="仿宋_GB2312"/>
          <w:color w:val="000000"/>
          <w:spacing w:val="-6"/>
          <w:sz w:val="30"/>
          <w:szCs w:val="30"/>
        </w:rPr>
      </w:pPr>
      <w:r>
        <w:rPr>
          <w:rFonts w:hint="eastAsia" w:ascii="仿宋_GB2312" w:hAnsi="仿宋_GB2312" w:cs="仿宋_GB2312"/>
          <w:color w:val="000000"/>
          <w:sz w:val="30"/>
          <w:szCs w:val="30"/>
        </w:rPr>
        <w:t>深入贯彻落实党的十九届五中、六中全会、省委十届十一次、十二次、十三次全会及市第五次党代会精神，坚持全方位推进高质量发展超越，在奋力谱写全面建设社会主义现代</w:t>
      </w:r>
      <w:r>
        <w:rPr>
          <w:rFonts w:hint="eastAsia" w:ascii="仿宋_GB2312" w:hAnsi="仿宋_GB2312" w:cs="仿宋_GB2312"/>
          <w:color w:val="000000"/>
          <w:spacing w:val="-6"/>
          <w:sz w:val="30"/>
          <w:szCs w:val="30"/>
        </w:rPr>
        <w:t>化国家的宁德篇章中，走出具有闽东特色的乡村振兴之路，努力打造“全国乡村振兴样板区”，加快推进农业农村现代化。</w:t>
      </w:r>
    </w:p>
    <w:p>
      <w:pPr>
        <w:adjustRightInd w:val="0"/>
        <w:snapToGrid w:val="0"/>
        <w:spacing w:line="596" w:lineRule="exact"/>
        <w:ind w:firstLine="602"/>
        <w:rPr>
          <w:rFonts w:ascii="仿宋_GB2312" w:hAnsi="仿宋_GB2312" w:cs="仿宋_GB2312"/>
          <w:color w:val="000000"/>
          <w:sz w:val="30"/>
          <w:szCs w:val="30"/>
        </w:rPr>
      </w:pPr>
      <w:r>
        <w:rPr>
          <w:rFonts w:hint="eastAsia" w:ascii="仿宋_GB2312" w:hAnsi="仿宋_GB2312" w:cs="仿宋_GB2312"/>
          <w:b/>
          <w:bCs/>
          <w:color w:val="000000"/>
          <w:sz w:val="30"/>
          <w:szCs w:val="30"/>
        </w:rPr>
        <w:t>到二○三五年特色现代农业发展的远景目标。</w:t>
      </w:r>
      <w:r>
        <w:rPr>
          <w:rFonts w:hint="eastAsia" w:ascii="仿宋_GB2312" w:hAnsi="仿宋_GB2312" w:cs="仿宋_GB2312"/>
          <w:color w:val="000000"/>
          <w:sz w:val="30"/>
          <w:szCs w:val="30"/>
        </w:rPr>
        <w:t>到2035年，全市基本实现农业农村现代化和全方位高质量发展超越,谱写出全面建设社会主义现代化国家的宁德篇章。现代农业发展制度框架和政策体系日臻完善，农业结构得到根本性改善；现代科技对特色农业提质增效的贡献更加突出，适应特色农业生产要求的高端农业装备和信息化水平显著提升，农业集约化程度和全要素生产率持续提高，基本达到同期发达国家和地区平均水平；新型农业经营主体成为特色现代农业主体力量，农业生产专业化、组织化、社会化水平较高，小农户与各类新型经营主体协同发展；重要农产品供给保障体系更加科学合理、安全高效，农业质量效益和竞争力大幅跃升，农业绿色发展长效机制更加健全、绿色发展模式实现全覆盖，农民生活水平再上新台阶，城乡居民生活水平差距显著缩小，农业现代化基本实现。</w:t>
      </w:r>
    </w:p>
    <w:p>
      <w:pPr>
        <w:adjustRightInd w:val="0"/>
        <w:snapToGrid w:val="0"/>
        <w:spacing w:line="596" w:lineRule="exact"/>
        <w:ind w:firstLine="602"/>
        <w:rPr>
          <w:rFonts w:ascii="仿宋_GB2312" w:hAnsi="仿宋_GB2312" w:cs="仿宋_GB2312"/>
          <w:b/>
          <w:bCs/>
          <w:color w:val="000000"/>
          <w:sz w:val="30"/>
          <w:szCs w:val="30"/>
        </w:rPr>
      </w:pPr>
      <w:r>
        <w:rPr>
          <w:rFonts w:hint="eastAsia" w:ascii="仿宋_GB2312" w:hAnsi="仿宋_GB2312" w:cs="仿宋_GB2312"/>
          <w:b/>
          <w:bCs/>
          <w:color w:val="000000"/>
          <w:sz w:val="30"/>
          <w:szCs w:val="30"/>
        </w:rPr>
        <w:t>“十四五”时期特色现代农业发展的主要目标。</w:t>
      </w:r>
      <w:r>
        <w:rPr>
          <w:rFonts w:hint="eastAsia" w:ascii="仿宋_GB2312" w:hAnsi="仿宋_GB2312" w:cs="仿宋_GB2312"/>
          <w:color w:val="000000"/>
          <w:sz w:val="30"/>
          <w:szCs w:val="30"/>
        </w:rPr>
        <w:t>锚定二○三五年远景目标，立足我市资源禀赋、特色优势，坚持目标导向、问题导向、结果导向相统一，在农业高质量发展超越上迈上新台阶。到2025年，宁德市农业供给侧结构性改革取得显著成效，特色现代农业水平进一步提升，产业布局和特色现代农业产业体系、生产体系、经营体系进一步优化；规模经营水平和经营主体素质进一步提升，社会化服务体系进一步健全，外向型农业和品牌农业取得更大成效；基础设施进一步改善，综合生产能力和可持续发展能力显著增强，“生产、生活、生态”功能日益增强，逐步形成业态丰富、功能多样、环境友好、特色鲜明的特色现代农业产业体系，社会、经济、生态三大效益同步提高；抗灾减灾能力、市场竞争力和可持续发展能力进一步提升，农产品质量安全保障水平大幅提升，土地产出率处于全省前列；农业持续增效、农民持续增收，农业产业成为乡村振兴的重要支撑。</w:t>
      </w:r>
    </w:p>
    <w:p>
      <w:pPr>
        <w:adjustRightInd w:val="0"/>
        <w:snapToGrid w:val="0"/>
        <w:spacing w:line="596" w:lineRule="exact"/>
        <w:ind w:firstLine="602"/>
        <w:rPr>
          <w:rFonts w:ascii="仿宋_GB2312" w:hAnsi="仿宋_GB2312" w:cs="仿宋_GB2312"/>
          <w:color w:val="000000"/>
          <w:spacing w:val="-6"/>
          <w:sz w:val="30"/>
          <w:szCs w:val="30"/>
        </w:rPr>
      </w:pPr>
      <w:r>
        <w:rPr>
          <w:rFonts w:hint="eastAsia" w:ascii="仿宋_GB2312" w:hAnsi="仿宋_GB2312" w:cs="仿宋_GB2312"/>
          <w:b/>
          <w:bCs/>
          <w:color w:val="000000"/>
          <w:sz w:val="30"/>
          <w:szCs w:val="30"/>
        </w:rPr>
        <w:t>——重要农产品生产稳定。</w:t>
      </w:r>
      <w:r>
        <w:rPr>
          <w:rFonts w:hint="eastAsia" w:ascii="仿宋_GB2312" w:hAnsi="仿宋_GB2312" w:cs="仿宋_GB2312"/>
          <w:color w:val="000000"/>
          <w:sz w:val="30"/>
          <w:szCs w:val="30"/>
        </w:rPr>
        <w:t>稳定粮食综合生产能力，粮食播种面积稳定在134.8万亩左右，粮食总产稳定在47.7万吨左右。生猪产能稳步提高，存栏保持在79万头以上，</w:t>
      </w:r>
      <w:r>
        <w:rPr>
          <w:rFonts w:hint="eastAsia" w:ascii="仿宋_GB2312" w:hAnsi="仿宋_GB2312" w:cs="仿宋_GB2312"/>
          <w:color w:val="000000"/>
          <w:spacing w:val="-6"/>
          <w:sz w:val="30"/>
          <w:szCs w:val="30"/>
        </w:rPr>
        <w:t>生猪存栏稳定在141万头左右，实现产销平衡，基本满足自给。</w:t>
      </w:r>
    </w:p>
    <w:p>
      <w:pPr>
        <w:adjustRightInd w:val="0"/>
        <w:snapToGrid w:val="0"/>
        <w:spacing w:line="596" w:lineRule="exact"/>
        <w:ind w:firstLine="602"/>
        <w:rPr>
          <w:rFonts w:ascii="仿宋_GB2312" w:hAnsi="仿宋_GB2312" w:cs="仿宋_GB2312"/>
          <w:color w:val="000000"/>
          <w:sz w:val="30"/>
          <w:szCs w:val="30"/>
        </w:rPr>
      </w:pPr>
      <w:r>
        <w:rPr>
          <w:rFonts w:hint="eastAsia" w:ascii="仿宋_GB2312" w:hAnsi="仿宋_GB2312" w:cs="仿宋_GB2312"/>
          <w:b/>
          <w:bCs/>
          <w:color w:val="000000"/>
          <w:sz w:val="30"/>
          <w:szCs w:val="30"/>
        </w:rPr>
        <w:t>——特色优势产业不断增强。</w:t>
      </w:r>
      <w:r>
        <w:rPr>
          <w:rFonts w:hint="eastAsia" w:ascii="仿宋_GB2312" w:hAnsi="仿宋_GB2312" w:cs="仿宋_GB2312"/>
          <w:color w:val="000000"/>
          <w:sz w:val="30"/>
          <w:szCs w:val="30"/>
        </w:rPr>
        <w:t>农业产业结构进一步优化，区域布局更加合理，集聚集群发展格局基本形成，针对茶叶、渔业、食用菌、水果、蔬菜、中草药材、畜禽和林竹花卉等8大优势特色产业形成优势特色产业集群，集聚效益凸显，八大特色产业全产业链产值突破2500亿元、实现乡村休闲旅游业收入200亿元，农产品加工转化率达到78%，农产品加工业与农业总产值比达到2.7:1。</w:t>
      </w:r>
    </w:p>
    <w:p>
      <w:pPr>
        <w:adjustRightInd w:val="0"/>
        <w:snapToGrid w:val="0"/>
        <w:spacing w:line="596" w:lineRule="exact"/>
        <w:ind w:firstLine="602"/>
        <w:rPr>
          <w:rFonts w:ascii="仿宋_GB2312" w:hAnsi="仿宋_GB2312" w:cs="仿宋_GB2312"/>
          <w:color w:val="000000"/>
          <w:sz w:val="30"/>
          <w:szCs w:val="30"/>
        </w:rPr>
      </w:pPr>
      <w:r>
        <w:rPr>
          <w:rFonts w:hint="eastAsia" w:ascii="仿宋_GB2312" w:hAnsi="仿宋_GB2312" w:cs="仿宋_GB2312"/>
          <w:b/>
          <w:bCs/>
          <w:color w:val="000000"/>
          <w:sz w:val="30"/>
          <w:szCs w:val="30"/>
        </w:rPr>
        <w:t>——农业绿色发展成效显著。</w:t>
      </w:r>
      <w:r>
        <w:rPr>
          <w:rFonts w:hint="eastAsia" w:ascii="仿宋_GB2312" w:hAnsi="仿宋_GB2312" w:cs="仿宋_GB2312"/>
          <w:color w:val="000000"/>
          <w:sz w:val="30"/>
          <w:szCs w:val="30"/>
        </w:rPr>
        <w:t>农业生态环境持续改善，畜禽养殖废弃物资源化利用率达到93%以上；化肥农药使用量比2020年减少10%；农产品质量安全监测总体合格率高于全省平均水平。</w:t>
      </w:r>
    </w:p>
    <w:p>
      <w:pPr>
        <w:adjustRightInd w:val="0"/>
        <w:snapToGrid w:val="0"/>
        <w:spacing w:line="596" w:lineRule="exact"/>
        <w:ind w:firstLine="602"/>
        <w:rPr>
          <w:rFonts w:ascii="仿宋_GB2312" w:hAnsi="仿宋_GB2312" w:cs="仿宋_GB2312"/>
          <w:color w:val="000000"/>
          <w:sz w:val="30"/>
          <w:szCs w:val="30"/>
        </w:rPr>
      </w:pPr>
      <w:r>
        <w:rPr>
          <w:rFonts w:hint="eastAsia" w:ascii="仿宋_GB2312" w:hAnsi="仿宋_GB2312" w:cs="仿宋_GB2312"/>
          <w:b/>
          <w:bCs/>
          <w:color w:val="000000"/>
          <w:sz w:val="30"/>
          <w:szCs w:val="30"/>
        </w:rPr>
        <w:t>——农业科技水平不断提升。</w:t>
      </w:r>
      <w:r>
        <w:rPr>
          <w:rFonts w:hint="eastAsia" w:ascii="仿宋_GB2312" w:hAnsi="仿宋_GB2312" w:cs="仿宋_GB2312"/>
          <w:color w:val="000000"/>
          <w:sz w:val="30"/>
          <w:szCs w:val="30"/>
        </w:rPr>
        <w:t>农业物质装备水平明显提高，现代信息技术在农业领域得到广泛应用，农业科技进步贡献率达65%，主要农作物和畜禽良种覆盖率达98%以上，主要农作物耕种收综合机械化率提高到7</w:t>
      </w:r>
      <w:r>
        <w:rPr>
          <w:rFonts w:ascii="仿宋_GB2312" w:hAnsi="仿宋_GB2312" w:cs="仿宋_GB2312"/>
          <w:color w:val="000000"/>
          <w:sz w:val="30"/>
          <w:szCs w:val="30"/>
        </w:rPr>
        <w:t>2</w:t>
      </w:r>
      <w:r>
        <w:rPr>
          <w:rFonts w:hint="eastAsia" w:ascii="仿宋_GB2312" w:hAnsi="仿宋_GB2312" w:cs="仿宋_GB2312"/>
          <w:color w:val="000000"/>
          <w:sz w:val="30"/>
          <w:szCs w:val="30"/>
        </w:rPr>
        <w:t>%</w:t>
      </w:r>
      <w:r>
        <w:rPr>
          <w:rFonts w:hint="eastAsia" w:ascii="仿宋_GB2312" w:hAnsi="仿宋_GB2312" w:cs="仿宋_GB2312"/>
          <w:color w:val="000000"/>
          <w:sz w:val="30"/>
          <w:szCs w:val="30"/>
          <w:lang w:eastAsia="zh-CN"/>
        </w:rPr>
        <w:t>以上</w:t>
      </w:r>
      <w:r>
        <w:rPr>
          <w:rFonts w:hint="eastAsia" w:ascii="仿宋_GB2312" w:hAnsi="仿宋_GB2312" w:cs="仿宋_GB2312"/>
          <w:color w:val="000000"/>
          <w:sz w:val="30"/>
          <w:szCs w:val="30"/>
        </w:rPr>
        <w:t>。</w:t>
      </w:r>
    </w:p>
    <w:p>
      <w:pPr>
        <w:adjustRightInd w:val="0"/>
        <w:snapToGrid w:val="0"/>
        <w:spacing w:line="596" w:lineRule="exact"/>
        <w:ind w:firstLine="602"/>
        <w:rPr>
          <w:rFonts w:ascii="仿宋_GB2312" w:hAnsi="仿宋_GB2312" w:cs="仿宋_GB2312"/>
          <w:color w:val="000000"/>
          <w:sz w:val="30"/>
          <w:szCs w:val="30"/>
        </w:rPr>
      </w:pPr>
      <w:r>
        <w:rPr>
          <w:rFonts w:hint="eastAsia" w:ascii="仿宋_GB2312" w:hAnsi="仿宋_GB2312" w:cs="仿宋_GB2312"/>
          <w:b/>
          <w:bCs/>
          <w:color w:val="000000"/>
          <w:sz w:val="30"/>
          <w:szCs w:val="30"/>
        </w:rPr>
        <w:t>——农业农民持续增效增收。</w:t>
      </w:r>
      <w:r>
        <w:rPr>
          <w:rFonts w:hint="eastAsia" w:ascii="仿宋_GB2312" w:hAnsi="仿宋_GB2312" w:cs="仿宋_GB2312"/>
          <w:color w:val="000000"/>
          <w:sz w:val="30"/>
          <w:szCs w:val="30"/>
        </w:rPr>
        <w:t>农业效益不断提升，农村居民人均可支配收入持续较快增长，年均增长9.5%以上，增幅高于城镇居民收入增幅，城乡居民收入进一步缩小。</w:t>
      </w:r>
    </w:p>
    <w:p>
      <w:pPr>
        <w:adjustRightInd w:val="0"/>
        <w:snapToGrid w:val="0"/>
        <w:spacing w:line="596" w:lineRule="exact"/>
        <w:ind w:firstLine="602"/>
        <w:rPr>
          <w:color w:val="000000"/>
          <w:sz w:val="30"/>
          <w:szCs w:val="30"/>
        </w:rPr>
      </w:pPr>
      <w:r>
        <w:rPr>
          <w:rFonts w:hint="eastAsia" w:ascii="仿宋_GB2312" w:hAnsi="仿宋_GB2312" w:cs="仿宋_GB2312"/>
          <w:b/>
          <w:bCs/>
          <w:color w:val="000000"/>
          <w:sz w:val="30"/>
          <w:szCs w:val="30"/>
        </w:rPr>
        <w:t>——农业品牌数量快速增加。</w:t>
      </w:r>
      <w:r>
        <w:rPr>
          <w:rFonts w:hint="eastAsia" w:ascii="仿宋_GB2312" w:hAnsi="仿宋_GB2312" w:cs="仿宋_GB2312"/>
          <w:color w:val="000000"/>
          <w:sz w:val="30"/>
          <w:szCs w:val="30"/>
        </w:rPr>
        <w:t>持续打造“0593宁德号”农产品区域公用品牌，到2025年，全市打造农产品区域公用品牌1个，地理标志数达17个。省、市级农业产业化龙头企业、示范合作社、示范家庭农场认定数量明显增加，</w:t>
      </w:r>
      <w:r>
        <w:rPr>
          <w:rFonts w:hint="eastAsia" w:ascii="仿宋_GB2312" w:hAnsi="仿宋_GB2312" w:cs="仿宋_GB2312"/>
          <w:color w:val="000000"/>
          <w:sz w:val="30"/>
          <w:szCs w:val="30"/>
          <w:lang w:eastAsia="zh-CN"/>
        </w:rPr>
        <w:t>高于</w:t>
      </w:r>
      <w:r>
        <w:rPr>
          <w:rFonts w:hint="eastAsia" w:ascii="仿宋_GB2312" w:hAnsi="仿宋_GB2312" w:cs="仿宋_GB2312"/>
          <w:color w:val="000000"/>
          <w:sz w:val="30"/>
          <w:szCs w:val="30"/>
        </w:rPr>
        <w:t>全省平均水平。</w:t>
      </w:r>
      <w:bookmarkStart w:id="296" w:name="_Toc26493"/>
      <w:bookmarkStart w:id="297" w:name="_Toc22077"/>
      <w:bookmarkStart w:id="298" w:name="_Toc13585"/>
      <w:bookmarkStart w:id="299" w:name="_Toc24475"/>
      <w:bookmarkStart w:id="300" w:name="_Toc19284"/>
      <w:bookmarkStart w:id="301" w:name="_Toc13584"/>
      <w:bookmarkStart w:id="302" w:name="_Toc16656"/>
      <w:bookmarkStart w:id="303" w:name="_Toc19526"/>
      <w:bookmarkStart w:id="304" w:name="_Toc28959"/>
      <w:bookmarkStart w:id="305" w:name="_Toc17774"/>
      <w:bookmarkStart w:id="306" w:name="_Toc3223"/>
      <w:bookmarkStart w:id="307" w:name="_Toc9176"/>
    </w:p>
    <w:p>
      <w:pPr>
        <w:pStyle w:val="5"/>
        <w:spacing w:line="520" w:lineRule="exact"/>
        <w:ind w:firstLine="602"/>
        <w:jc w:val="center"/>
        <w:rPr>
          <w:rFonts w:hint="eastAsia" w:ascii="方正小标宋_GBK" w:hAnsi="方正小标宋_GBK" w:eastAsia="方正小标宋_GBK" w:cs="方正小标宋_GBK"/>
          <w:b w:val="0"/>
          <w:bCs/>
          <w:color w:val="000000"/>
          <w:sz w:val="30"/>
          <w:szCs w:val="30"/>
        </w:rPr>
      </w:pPr>
      <w:bookmarkStart w:id="308" w:name="_Toc7740"/>
      <w:bookmarkStart w:id="309" w:name="_Toc11503"/>
      <w:bookmarkStart w:id="310" w:name="_Toc28161"/>
      <w:bookmarkStart w:id="311" w:name="_Toc7701"/>
      <w:bookmarkStart w:id="312" w:name="_Toc8460"/>
      <w:bookmarkStart w:id="313" w:name="_Toc14539"/>
      <w:bookmarkStart w:id="314" w:name="_Toc16865"/>
      <w:r>
        <w:rPr>
          <w:rFonts w:hint="eastAsia" w:ascii="仿宋_GB2312" w:hAnsi="仿宋_GB2312" w:cs="仿宋_GB2312"/>
          <w:color w:val="000000"/>
          <w:sz w:val="30"/>
          <w:szCs w:val="30"/>
        </w:rPr>
        <w:br w:type="page"/>
      </w:r>
      <w:r>
        <w:rPr>
          <w:rFonts w:hint="eastAsia" w:ascii="方正小标宋_GBK" w:hAnsi="方正小标宋_GBK" w:eastAsia="方正小标宋_GBK" w:cs="方正小标宋_GBK"/>
          <w:b w:val="0"/>
          <w:bCs/>
          <w:color w:val="000000"/>
          <w:sz w:val="30"/>
          <w:szCs w:val="30"/>
        </w:rPr>
        <w:t>专栏3：特色现代农业发展综合指标</w:t>
      </w:r>
      <w:bookmarkEnd w:id="296"/>
      <w:bookmarkEnd w:id="297"/>
      <w:bookmarkEnd w:id="298"/>
      <w:bookmarkEnd w:id="299"/>
      <w:bookmarkEnd w:id="300"/>
      <w:bookmarkEnd w:id="301"/>
      <w:bookmarkEnd w:id="302"/>
      <w:bookmarkEnd w:id="303"/>
      <w:bookmarkEnd w:id="304"/>
      <w:bookmarkEnd w:id="305"/>
      <w:bookmarkEnd w:id="308"/>
      <w:bookmarkEnd w:id="309"/>
      <w:bookmarkEnd w:id="310"/>
      <w:bookmarkEnd w:id="311"/>
      <w:bookmarkEnd w:id="312"/>
      <w:bookmarkEnd w:id="313"/>
      <w:bookmarkEnd w:id="314"/>
    </w:p>
    <w:bookmarkEnd w:id="306"/>
    <w:bookmarkEnd w:id="307"/>
    <w:tbl>
      <w:tblPr>
        <w:tblStyle w:val="1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1343"/>
        <w:gridCol w:w="1417"/>
        <w:gridCol w:w="1559"/>
        <w:gridCol w:w="1961"/>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801" w:type="dxa"/>
            <w:gridSpan w:val="2"/>
            <w:noWrap w:val="0"/>
            <w:vAlign w:val="center"/>
          </w:tcPr>
          <w:p>
            <w:pPr>
              <w:spacing w:line="360" w:lineRule="exact"/>
              <w:ind w:firstLine="0" w:firstLineChars="0"/>
              <w:jc w:val="center"/>
              <w:rPr>
                <w:rFonts w:hint="eastAsia" w:ascii="黑体" w:hAnsi="黑体" w:eastAsia="黑体" w:cs="黑体"/>
                <w:b w:val="0"/>
                <w:bCs w:val="0"/>
                <w:color w:val="000000"/>
                <w:sz w:val="24"/>
              </w:rPr>
            </w:pPr>
            <w:r>
              <w:rPr>
                <w:rFonts w:hint="eastAsia" w:ascii="黑体" w:hAnsi="黑体" w:eastAsia="黑体" w:cs="黑体"/>
                <w:b w:val="0"/>
                <w:bCs w:val="0"/>
                <w:color w:val="000000"/>
                <w:sz w:val="24"/>
              </w:rPr>
              <w:t>指标名称</w:t>
            </w:r>
          </w:p>
        </w:tc>
        <w:tc>
          <w:tcPr>
            <w:tcW w:w="1417" w:type="dxa"/>
            <w:tcBorders>
              <w:right w:val="single" w:color="auto" w:sz="4" w:space="0"/>
            </w:tcBorders>
            <w:noWrap w:val="0"/>
            <w:vAlign w:val="center"/>
          </w:tcPr>
          <w:p>
            <w:pPr>
              <w:spacing w:line="360" w:lineRule="exact"/>
              <w:ind w:firstLine="0" w:firstLineChars="0"/>
              <w:jc w:val="center"/>
              <w:rPr>
                <w:rFonts w:hint="eastAsia" w:ascii="黑体" w:hAnsi="黑体" w:eastAsia="黑体" w:cs="黑体"/>
                <w:b w:val="0"/>
                <w:bCs w:val="0"/>
                <w:color w:val="000000"/>
                <w:sz w:val="24"/>
              </w:rPr>
            </w:pPr>
            <w:r>
              <w:rPr>
                <w:rFonts w:hint="eastAsia" w:ascii="黑体" w:hAnsi="黑体" w:eastAsia="黑体" w:cs="黑体"/>
                <w:b w:val="0"/>
                <w:bCs w:val="0"/>
                <w:color w:val="000000"/>
                <w:sz w:val="24"/>
              </w:rPr>
              <w:t>计量单位</w:t>
            </w:r>
          </w:p>
        </w:tc>
        <w:tc>
          <w:tcPr>
            <w:tcW w:w="1559" w:type="dxa"/>
            <w:tcBorders>
              <w:left w:val="single" w:color="auto" w:sz="4" w:space="0"/>
              <w:right w:val="single" w:color="auto" w:sz="4" w:space="0"/>
            </w:tcBorders>
            <w:noWrap w:val="0"/>
            <w:vAlign w:val="center"/>
          </w:tcPr>
          <w:p>
            <w:pPr>
              <w:spacing w:line="360" w:lineRule="exact"/>
              <w:ind w:firstLine="0" w:firstLineChars="0"/>
              <w:jc w:val="center"/>
              <w:rPr>
                <w:rFonts w:hint="eastAsia" w:ascii="黑体" w:hAnsi="黑体" w:eastAsia="黑体" w:cs="黑体"/>
                <w:b w:val="0"/>
                <w:bCs w:val="0"/>
                <w:color w:val="000000"/>
                <w:sz w:val="24"/>
              </w:rPr>
            </w:pPr>
            <w:r>
              <w:rPr>
                <w:rFonts w:hint="eastAsia" w:ascii="黑体" w:hAnsi="黑体" w:eastAsia="黑体" w:cs="黑体"/>
                <w:b w:val="0"/>
                <w:bCs w:val="0"/>
                <w:color w:val="000000"/>
                <w:sz w:val="24"/>
              </w:rPr>
              <w:t>2020年</w:t>
            </w:r>
          </w:p>
        </w:tc>
        <w:tc>
          <w:tcPr>
            <w:tcW w:w="1961" w:type="dxa"/>
            <w:tcBorders>
              <w:left w:val="single" w:color="auto" w:sz="4" w:space="0"/>
            </w:tcBorders>
            <w:noWrap w:val="0"/>
            <w:vAlign w:val="center"/>
          </w:tcPr>
          <w:p>
            <w:pPr>
              <w:spacing w:line="360" w:lineRule="exact"/>
              <w:ind w:firstLine="0" w:firstLineChars="0"/>
              <w:jc w:val="center"/>
              <w:rPr>
                <w:rFonts w:hint="eastAsia" w:ascii="黑体" w:hAnsi="黑体" w:eastAsia="黑体" w:cs="黑体"/>
                <w:b w:val="0"/>
                <w:bCs w:val="0"/>
                <w:color w:val="000000"/>
                <w:sz w:val="24"/>
              </w:rPr>
            </w:pPr>
            <w:r>
              <w:rPr>
                <w:rFonts w:hint="eastAsia" w:ascii="黑体" w:hAnsi="黑体" w:eastAsia="黑体" w:cs="黑体"/>
                <w:b w:val="0"/>
                <w:bCs w:val="0"/>
                <w:color w:val="000000"/>
                <w:sz w:val="24"/>
              </w:rPr>
              <w:t>2025年</w:t>
            </w:r>
          </w:p>
        </w:tc>
        <w:tc>
          <w:tcPr>
            <w:tcW w:w="1319" w:type="dxa"/>
            <w:noWrap w:val="0"/>
            <w:vAlign w:val="center"/>
          </w:tcPr>
          <w:p>
            <w:pPr>
              <w:spacing w:line="360" w:lineRule="exact"/>
              <w:ind w:firstLine="0" w:firstLineChars="0"/>
              <w:jc w:val="center"/>
              <w:rPr>
                <w:rFonts w:hint="eastAsia" w:ascii="黑体" w:hAnsi="黑体" w:eastAsia="黑体" w:cs="黑体"/>
                <w:b w:val="0"/>
                <w:bCs w:val="0"/>
                <w:color w:val="000000"/>
                <w:sz w:val="24"/>
              </w:rPr>
            </w:pPr>
            <w:r>
              <w:rPr>
                <w:rFonts w:hint="eastAsia" w:ascii="黑体" w:hAnsi="黑体" w:eastAsia="黑体" w:cs="黑体"/>
                <w:b w:val="0"/>
                <w:bCs w:val="0"/>
                <w:color w:val="000000"/>
                <w:sz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01" w:type="dxa"/>
            <w:gridSpan w:val="2"/>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农林牧渔业增长率</w:t>
            </w:r>
          </w:p>
        </w:tc>
        <w:tc>
          <w:tcPr>
            <w:tcW w:w="1417"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w:t>
            </w:r>
          </w:p>
        </w:tc>
        <w:tc>
          <w:tcPr>
            <w:tcW w:w="1559" w:type="dxa"/>
            <w:tcBorders>
              <w:right w:val="single" w:color="auto" w:sz="4" w:space="0"/>
            </w:tcBorders>
            <w:noWrap w:val="0"/>
            <w:vAlign w:val="center"/>
          </w:tcPr>
          <w:p>
            <w:pPr>
              <w:tabs>
                <w:tab w:val="left" w:pos="559"/>
              </w:tabs>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w:t>
            </w:r>
          </w:p>
        </w:tc>
        <w:tc>
          <w:tcPr>
            <w:tcW w:w="1961" w:type="dxa"/>
            <w:tcBorders>
              <w:lef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年均增长3%以上</w:t>
            </w:r>
          </w:p>
        </w:tc>
        <w:tc>
          <w:tcPr>
            <w:tcW w:w="1319"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801" w:type="dxa"/>
            <w:gridSpan w:val="2"/>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农村居民人均可支配收入增长率</w:t>
            </w:r>
          </w:p>
        </w:tc>
        <w:tc>
          <w:tcPr>
            <w:tcW w:w="1417"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w:t>
            </w:r>
          </w:p>
        </w:tc>
        <w:tc>
          <w:tcPr>
            <w:tcW w:w="1559" w:type="dxa"/>
            <w:tcBorders>
              <w:righ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w:t>
            </w:r>
          </w:p>
        </w:tc>
        <w:tc>
          <w:tcPr>
            <w:tcW w:w="1961" w:type="dxa"/>
            <w:tcBorders>
              <w:lef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sz w:val="24"/>
              </w:rPr>
              <w:t>年均增长9.5%以上</w:t>
            </w:r>
          </w:p>
        </w:tc>
        <w:tc>
          <w:tcPr>
            <w:tcW w:w="1319"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2801" w:type="dxa"/>
            <w:gridSpan w:val="2"/>
            <w:noWrap w:val="0"/>
            <w:vAlign w:val="center"/>
          </w:tcPr>
          <w:p>
            <w:pPr>
              <w:spacing w:line="360" w:lineRule="exact"/>
              <w:ind w:firstLine="0" w:firstLineChars="0"/>
              <w:jc w:val="center"/>
              <w:rPr>
                <w:rFonts w:ascii="仿宋_GB2312" w:hAnsi="仿宋_GB2312" w:cs="仿宋_GB2312"/>
                <w:sz w:val="24"/>
              </w:rPr>
            </w:pPr>
            <w:r>
              <w:rPr>
                <w:rFonts w:hint="eastAsia" w:ascii="仿宋_GB2312" w:hAnsi="仿宋_GB2312" w:cs="仿宋_GB2312"/>
                <w:bCs/>
                <w:sz w:val="24"/>
              </w:rPr>
              <w:t>农产品加工业与农业总产值比</w:t>
            </w:r>
          </w:p>
        </w:tc>
        <w:tc>
          <w:tcPr>
            <w:tcW w:w="1417" w:type="dxa"/>
            <w:noWrap w:val="0"/>
            <w:vAlign w:val="center"/>
          </w:tcPr>
          <w:p>
            <w:pPr>
              <w:spacing w:line="360" w:lineRule="exact"/>
              <w:ind w:firstLine="0" w:firstLineChars="0"/>
              <w:jc w:val="center"/>
              <w:rPr>
                <w:rFonts w:ascii="仿宋_GB2312" w:hAnsi="仿宋_GB2312" w:cs="仿宋_GB2312"/>
                <w:sz w:val="24"/>
              </w:rPr>
            </w:pPr>
            <w:r>
              <w:rPr>
                <w:rFonts w:hint="eastAsia" w:ascii="仿宋_GB2312" w:hAnsi="仿宋_GB2312" w:cs="仿宋_GB2312"/>
                <w:sz w:val="24"/>
              </w:rPr>
              <w:t>—</w:t>
            </w:r>
          </w:p>
        </w:tc>
        <w:tc>
          <w:tcPr>
            <w:tcW w:w="1559" w:type="dxa"/>
            <w:tcBorders>
              <w:right w:val="single" w:color="auto" w:sz="4" w:space="0"/>
            </w:tcBorders>
            <w:noWrap w:val="0"/>
            <w:vAlign w:val="center"/>
          </w:tcPr>
          <w:p>
            <w:pPr>
              <w:spacing w:line="360" w:lineRule="exact"/>
              <w:ind w:firstLine="0" w:firstLineChars="0"/>
              <w:jc w:val="center"/>
              <w:rPr>
                <w:rFonts w:ascii="仿宋_GB2312" w:hAnsi="仿宋_GB2312" w:cs="仿宋_GB2312"/>
                <w:sz w:val="24"/>
              </w:rPr>
            </w:pPr>
            <w:r>
              <w:rPr>
                <w:rFonts w:hint="eastAsia" w:ascii="仿宋_GB2312" w:hAnsi="仿宋_GB2312" w:cs="仿宋_GB2312"/>
                <w:sz w:val="24"/>
              </w:rPr>
              <w:t>2.2:1</w:t>
            </w:r>
          </w:p>
        </w:tc>
        <w:tc>
          <w:tcPr>
            <w:tcW w:w="1961" w:type="dxa"/>
            <w:tcBorders>
              <w:left w:val="single" w:color="auto" w:sz="4" w:space="0"/>
            </w:tcBorders>
            <w:noWrap w:val="0"/>
            <w:vAlign w:val="center"/>
          </w:tcPr>
          <w:p>
            <w:pPr>
              <w:spacing w:line="360" w:lineRule="exact"/>
              <w:ind w:firstLine="0" w:firstLineChars="0"/>
              <w:jc w:val="center"/>
              <w:rPr>
                <w:rFonts w:ascii="仿宋_GB2312" w:hAnsi="仿宋_GB2312" w:cs="仿宋_GB2312"/>
                <w:sz w:val="24"/>
              </w:rPr>
            </w:pPr>
            <w:r>
              <w:rPr>
                <w:rFonts w:hint="eastAsia" w:ascii="仿宋_GB2312" w:hAnsi="仿宋_GB2312" w:cs="仿宋_GB2312"/>
                <w:sz w:val="24"/>
              </w:rPr>
              <w:t>2.7:1</w:t>
            </w:r>
          </w:p>
        </w:tc>
        <w:tc>
          <w:tcPr>
            <w:tcW w:w="1319" w:type="dxa"/>
            <w:noWrap w:val="0"/>
            <w:vAlign w:val="center"/>
          </w:tcPr>
          <w:p>
            <w:pPr>
              <w:spacing w:line="360" w:lineRule="exact"/>
              <w:ind w:firstLine="0" w:firstLineChars="0"/>
              <w:jc w:val="center"/>
              <w:rPr>
                <w:rFonts w:ascii="仿宋_GB2312" w:hAnsi="仿宋_GB2312" w:cs="仿宋_GB2312"/>
                <w:sz w:val="24"/>
              </w:rPr>
            </w:pPr>
            <w:r>
              <w:rPr>
                <w:rFonts w:hint="eastAsia" w:ascii="仿宋_GB2312" w:hAnsi="仿宋_GB2312" w:cs="仿宋_GB2312"/>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2801" w:type="dxa"/>
            <w:gridSpan w:val="2"/>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农机总动力</w:t>
            </w:r>
          </w:p>
        </w:tc>
        <w:tc>
          <w:tcPr>
            <w:tcW w:w="1417"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万千瓦</w:t>
            </w:r>
          </w:p>
        </w:tc>
        <w:tc>
          <w:tcPr>
            <w:tcW w:w="1559" w:type="dxa"/>
            <w:tcBorders>
              <w:righ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132</w:t>
            </w:r>
          </w:p>
        </w:tc>
        <w:tc>
          <w:tcPr>
            <w:tcW w:w="1961" w:type="dxa"/>
            <w:tcBorders>
              <w:left w:val="single" w:color="auto" w:sz="4" w:space="0"/>
            </w:tcBorders>
            <w:noWrap w:val="0"/>
            <w:vAlign w:val="center"/>
          </w:tcPr>
          <w:p>
            <w:pPr>
              <w:tabs>
                <w:tab w:val="center" w:pos="850"/>
                <w:tab w:val="right" w:pos="1581"/>
              </w:tabs>
              <w:spacing w:line="360" w:lineRule="exact"/>
              <w:ind w:firstLine="0" w:firstLineChars="0"/>
              <w:jc w:val="left"/>
              <w:rPr>
                <w:rFonts w:ascii="仿宋_GB2312" w:hAnsi="仿宋_GB2312" w:cs="仿宋_GB2312"/>
                <w:color w:val="000000"/>
                <w:sz w:val="24"/>
              </w:rPr>
            </w:pPr>
            <w:r>
              <w:rPr>
                <w:rFonts w:hint="eastAsia" w:ascii="仿宋_GB2312" w:hAnsi="仿宋_GB2312" w:cs="仿宋_GB2312"/>
                <w:color w:val="000000"/>
                <w:sz w:val="24"/>
              </w:rPr>
              <w:tab/>
            </w:r>
            <w:r>
              <w:rPr>
                <w:rFonts w:hint="eastAsia" w:ascii="仿宋_GB2312" w:hAnsi="仿宋_GB2312" w:cs="仿宋_GB2312"/>
                <w:color w:val="000000"/>
                <w:sz w:val="24"/>
              </w:rPr>
              <w:t>140.03</w:t>
            </w:r>
            <w:r>
              <w:rPr>
                <w:rFonts w:hint="eastAsia" w:ascii="仿宋_GB2312" w:hAnsi="仿宋_GB2312" w:cs="仿宋_GB2312"/>
                <w:color w:val="000000"/>
                <w:sz w:val="24"/>
              </w:rPr>
              <w:tab/>
            </w:r>
          </w:p>
        </w:tc>
        <w:tc>
          <w:tcPr>
            <w:tcW w:w="1319"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2801" w:type="dxa"/>
            <w:gridSpan w:val="2"/>
            <w:noWrap w:val="0"/>
            <w:vAlign w:val="center"/>
          </w:tcPr>
          <w:p>
            <w:pPr>
              <w:spacing w:line="360" w:lineRule="exact"/>
              <w:ind w:firstLine="0" w:firstLineChars="0"/>
              <w:jc w:val="center"/>
              <w:rPr>
                <w:rFonts w:ascii="仿宋_GB2312" w:hAnsi="仿宋_GB2312" w:cs="仿宋_GB2312"/>
                <w:bCs/>
                <w:color w:val="000000"/>
                <w:sz w:val="24"/>
              </w:rPr>
            </w:pPr>
            <w:r>
              <w:rPr>
                <w:rFonts w:hint="eastAsia" w:ascii="仿宋_GB2312" w:hAnsi="仿宋_GB2312" w:cs="仿宋_GB2312"/>
                <w:bCs/>
                <w:color w:val="000000"/>
                <w:sz w:val="24"/>
              </w:rPr>
              <w:t>主要农作物耕种收综合机械化率</w:t>
            </w:r>
          </w:p>
        </w:tc>
        <w:tc>
          <w:tcPr>
            <w:tcW w:w="1417"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w:t>
            </w:r>
          </w:p>
        </w:tc>
        <w:tc>
          <w:tcPr>
            <w:tcW w:w="1559" w:type="dxa"/>
            <w:tcBorders>
              <w:righ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64</w:t>
            </w:r>
          </w:p>
        </w:tc>
        <w:tc>
          <w:tcPr>
            <w:tcW w:w="1961" w:type="dxa"/>
            <w:tcBorders>
              <w:lef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72</w:t>
            </w:r>
          </w:p>
        </w:tc>
        <w:tc>
          <w:tcPr>
            <w:tcW w:w="1319"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801" w:type="dxa"/>
            <w:gridSpan w:val="2"/>
            <w:noWrap w:val="0"/>
            <w:vAlign w:val="center"/>
          </w:tcPr>
          <w:p>
            <w:pPr>
              <w:spacing w:line="360" w:lineRule="exact"/>
              <w:ind w:firstLine="0" w:firstLineChars="0"/>
              <w:jc w:val="center"/>
              <w:rPr>
                <w:rFonts w:ascii="仿宋_GB2312" w:hAnsi="仿宋_GB2312" w:cs="仿宋_GB2312"/>
                <w:bCs/>
                <w:color w:val="000000"/>
                <w:sz w:val="24"/>
              </w:rPr>
            </w:pPr>
            <w:r>
              <w:rPr>
                <w:rFonts w:hint="eastAsia" w:ascii="仿宋_GB2312" w:hAnsi="仿宋_GB2312" w:cs="仿宋_GB2312"/>
                <w:bCs/>
                <w:color w:val="000000"/>
                <w:sz w:val="24"/>
              </w:rPr>
              <w:t>农产品加工转化率</w:t>
            </w:r>
          </w:p>
        </w:tc>
        <w:tc>
          <w:tcPr>
            <w:tcW w:w="1417"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w:t>
            </w:r>
          </w:p>
        </w:tc>
        <w:tc>
          <w:tcPr>
            <w:tcW w:w="1559" w:type="dxa"/>
            <w:tcBorders>
              <w:righ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72</w:t>
            </w:r>
          </w:p>
        </w:tc>
        <w:tc>
          <w:tcPr>
            <w:tcW w:w="1961" w:type="dxa"/>
            <w:tcBorders>
              <w:lef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78</w:t>
            </w:r>
          </w:p>
        </w:tc>
        <w:tc>
          <w:tcPr>
            <w:tcW w:w="1319"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801" w:type="dxa"/>
            <w:gridSpan w:val="2"/>
            <w:noWrap w:val="0"/>
            <w:vAlign w:val="center"/>
          </w:tcPr>
          <w:p>
            <w:pPr>
              <w:spacing w:line="360" w:lineRule="exact"/>
              <w:ind w:firstLine="0" w:firstLineChars="0"/>
              <w:jc w:val="center"/>
              <w:rPr>
                <w:rFonts w:ascii="仿宋_GB2312" w:hAnsi="仿宋_GB2312" w:cs="仿宋_GB2312"/>
                <w:bCs/>
                <w:color w:val="000000"/>
                <w:sz w:val="24"/>
              </w:rPr>
            </w:pPr>
            <w:r>
              <w:rPr>
                <w:rFonts w:hint="eastAsia" w:ascii="仿宋_GB2312" w:hAnsi="仿宋_GB2312" w:cs="仿宋_GB2312"/>
                <w:bCs/>
                <w:color w:val="000000"/>
                <w:sz w:val="24"/>
              </w:rPr>
              <w:t>农业科技进步贡献率</w:t>
            </w:r>
          </w:p>
        </w:tc>
        <w:tc>
          <w:tcPr>
            <w:tcW w:w="1417"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w:t>
            </w:r>
          </w:p>
        </w:tc>
        <w:tc>
          <w:tcPr>
            <w:tcW w:w="1559" w:type="dxa"/>
            <w:tcBorders>
              <w:righ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w:t>
            </w:r>
          </w:p>
        </w:tc>
        <w:tc>
          <w:tcPr>
            <w:tcW w:w="1961" w:type="dxa"/>
            <w:tcBorders>
              <w:lef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65</w:t>
            </w:r>
          </w:p>
        </w:tc>
        <w:tc>
          <w:tcPr>
            <w:tcW w:w="1319"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801" w:type="dxa"/>
            <w:gridSpan w:val="2"/>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畜禽养殖废弃物资源化利用率</w:t>
            </w:r>
          </w:p>
        </w:tc>
        <w:tc>
          <w:tcPr>
            <w:tcW w:w="1417"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w:t>
            </w:r>
          </w:p>
        </w:tc>
        <w:tc>
          <w:tcPr>
            <w:tcW w:w="1559" w:type="dxa"/>
            <w:tcBorders>
              <w:righ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95</w:t>
            </w:r>
          </w:p>
        </w:tc>
        <w:tc>
          <w:tcPr>
            <w:tcW w:w="1961" w:type="dxa"/>
            <w:tcBorders>
              <w:lef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〉93（动态保持率）</w:t>
            </w:r>
          </w:p>
        </w:tc>
        <w:tc>
          <w:tcPr>
            <w:tcW w:w="1319"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2801" w:type="dxa"/>
            <w:gridSpan w:val="2"/>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主要农作物和畜禽良种覆盖率</w:t>
            </w:r>
          </w:p>
        </w:tc>
        <w:tc>
          <w:tcPr>
            <w:tcW w:w="1417"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w:t>
            </w:r>
          </w:p>
        </w:tc>
        <w:tc>
          <w:tcPr>
            <w:tcW w:w="1559" w:type="dxa"/>
            <w:tcBorders>
              <w:righ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98</w:t>
            </w:r>
          </w:p>
        </w:tc>
        <w:tc>
          <w:tcPr>
            <w:tcW w:w="1961" w:type="dxa"/>
            <w:tcBorders>
              <w:lef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bCs/>
                <w:color w:val="000000"/>
                <w:sz w:val="24"/>
              </w:rPr>
              <w:t>〉98</w:t>
            </w:r>
          </w:p>
        </w:tc>
        <w:tc>
          <w:tcPr>
            <w:tcW w:w="1319"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01" w:type="dxa"/>
            <w:gridSpan w:val="2"/>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农产品地理标志登记</w:t>
            </w:r>
          </w:p>
        </w:tc>
        <w:tc>
          <w:tcPr>
            <w:tcW w:w="1417"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个</w:t>
            </w:r>
          </w:p>
        </w:tc>
        <w:tc>
          <w:tcPr>
            <w:tcW w:w="1559" w:type="dxa"/>
            <w:tcBorders>
              <w:righ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9</w:t>
            </w:r>
          </w:p>
        </w:tc>
        <w:tc>
          <w:tcPr>
            <w:tcW w:w="1961" w:type="dxa"/>
            <w:tcBorders>
              <w:lef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17</w:t>
            </w:r>
          </w:p>
        </w:tc>
        <w:tc>
          <w:tcPr>
            <w:tcW w:w="1319"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01" w:type="dxa"/>
            <w:gridSpan w:val="2"/>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有机食品认证</w:t>
            </w:r>
          </w:p>
        </w:tc>
        <w:tc>
          <w:tcPr>
            <w:tcW w:w="1417"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个</w:t>
            </w:r>
          </w:p>
        </w:tc>
        <w:tc>
          <w:tcPr>
            <w:tcW w:w="1559" w:type="dxa"/>
            <w:tcBorders>
              <w:righ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12</w:t>
            </w:r>
          </w:p>
        </w:tc>
        <w:tc>
          <w:tcPr>
            <w:tcW w:w="1961" w:type="dxa"/>
            <w:tcBorders>
              <w:lef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23</w:t>
            </w:r>
          </w:p>
        </w:tc>
        <w:tc>
          <w:tcPr>
            <w:tcW w:w="1319"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01" w:type="dxa"/>
            <w:gridSpan w:val="2"/>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绿色食品认证</w:t>
            </w:r>
          </w:p>
        </w:tc>
        <w:tc>
          <w:tcPr>
            <w:tcW w:w="1417"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个</w:t>
            </w:r>
          </w:p>
        </w:tc>
        <w:tc>
          <w:tcPr>
            <w:tcW w:w="1559" w:type="dxa"/>
            <w:tcBorders>
              <w:righ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88</w:t>
            </w:r>
          </w:p>
        </w:tc>
        <w:tc>
          <w:tcPr>
            <w:tcW w:w="1961" w:type="dxa"/>
            <w:tcBorders>
              <w:left w:val="single" w:color="auto" w:sz="4" w:space="0"/>
            </w:tcBorders>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140</w:t>
            </w:r>
          </w:p>
        </w:tc>
        <w:tc>
          <w:tcPr>
            <w:tcW w:w="1319" w:type="dxa"/>
            <w:noWrap w:val="0"/>
            <w:vAlign w:val="center"/>
          </w:tcPr>
          <w:p>
            <w:pPr>
              <w:spacing w:line="36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458" w:type="dxa"/>
            <w:vMerge w:val="restart"/>
            <w:noWrap w:val="0"/>
            <w:vAlign w:val="center"/>
          </w:tcPr>
          <w:p>
            <w:pPr>
              <w:spacing w:line="440" w:lineRule="exact"/>
              <w:ind w:firstLine="0" w:firstLineChars="0"/>
              <w:jc w:val="center"/>
              <w:rPr>
                <w:rFonts w:ascii="仿宋_GB2312" w:hAnsi="仿宋_GB2312" w:cs="仿宋_GB2312"/>
                <w:bCs/>
                <w:color w:val="000000"/>
                <w:sz w:val="24"/>
              </w:rPr>
            </w:pPr>
            <w:bookmarkStart w:id="315" w:name="_Toc22106"/>
            <w:bookmarkStart w:id="316" w:name="_Toc15212"/>
            <w:bookmarkStart w:id="317" w:name="_Toc5809"/>
            <w:r>
              <w:rPr>
                <w:rFonts w:hint="eastAsia" w:ascii="仿宋_GB2312" w:hAnsi="仿宋_GB2312" w:cs="仿宋_GB2312"/>
                <w:bCs/>
                <w:color w:val="000000"/>
                <w:sz w:val="24"/>
              </w:rPr>
              <w:t>粮食综合</w:t>
            </w:r>
          </w:p>
          <w:p>
            <w:pPr>
              <w:spacing w:line="440" w:lineRule="exact"/>
              <w:ind w:firstLine="0" w:firstLineChars="0"/>
              <w:jc w:val="center"/>
              <w:rPr>
                <w:rFonts w:ascii="仿宋_GB2312" w:hAnsi="仿宋_GB2312" w:cs="仿宋_GB2312"/>
                <w:b/>
                <w:bCs/>
                <w:color w:val="000000"/>
                <w:sz w:val="24"/>
              </w:rPr>
            </w:pPr>
            <w:r>
              <w:rPr>
                <w:rFonts w:hint="eastAsia" w:ascii="仿宋_GB2312" w:hAnsi="仿宋_GB2312" w:cs="仿宋_GB2312"/>
                <w:bCs/>
                <w:color w:val="000000"/>
                <w:sz w:val="24"/>
              </w:rPr>
              <w:t>生产能力</w:t>
            </w:r>
          </w:p>
        </w:tc>
        <w:tc>
          <w:tcPr>
            <w:tcW w:w="1343" w:type="dxa"/>
            <w:noWrap w:val="0"/>
            <w:vAlign w:val="center"/>
          </w:tcPr>
          <w:p>
            <w:pPr>
              <w:spacing w:line="440" w:lineRule="exact"/>
              <w:ind w:left="-416" w:firstLine="480"/>
              <w:jc w:val="center"/>
              <w:rPr>
                <w:rFonts w:ascii="仿宋_GB2312" w:hAnsi="仿宋_GB2312" w:cs="仿宋_GB2312"/>
                <w:color w:val="000000"/>
                <w:sz w:val="24"/>
              </w:rPr>
            </w:pPr>
            <w:r>
              <w:rPr>
                <w:rFonts w:hint="eastAsia" w:ascii="仿宋_GB2312" w:hAnsi="仿宋_GB2312" w:cs="仿宋_GB2312"/>
                <w:bCs/>
                <w:color w:val="000000"/>
                <w:sz w:val="24"/>
              </w:rPr>
              <w:t>播种面积</w:t>
            </w:r>
          </w:p>
        </w:tc>
        <w:tc>
          <w:tcPr>
            <w:tcW w:w="1417" w:type="dxa"/>
            <w:noWrap w:val="0"/>
            <w:vAlign w:val="center"/>
          </w:tcPr>
          <w:p>
            <w:pPr>
              <w:spacing w:line="440" w:lineRule="exact"/>
              <w:ind w:firstLine="0" w:firstLineChars="0"/>
              <w:jc w:val="center"/>
              <w:rPr>
                <w:rFonts w:ascii="仿宋_GB2312" w:hAnsi="仿宋_GB2312" w:cs="仿宋_GB2312"/>
                <w:color w:val="000000"/>
                <w:sz w:val="24"/>
              </w:rPr>
            </w:pPr>
            <w:r>
              <w:rPr>
                <w:rFonts w:hint="eastAsia" w:ascii="仿宋_GB2312" w:hAnsi="仿宋_GB2312" w:cs="仿宋_GB2312"/>
                <w:sz w:val="24"/>
              </w:rPr>
              <w:t>万亩</w:t>
            </w:r>
          </w:p>
        </w:tc>
        <w:tc>
          <w:tcPr>
            <w:tcW w:w="1559" w:type="dxa"/>
            <w:tcBorders>
              <w:right w:val="single" w:color="auto" w:sz="4" w:space="0"/>
            </w:tcBorders>
            <w:noWrap w:val="0"/>
            <w:vAlign w:val="center"/>
          </w:tcPr>
          <w:p>
            <w:pPr>
              <w:spacing w:line="44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134.55</w:t>
            </w:r>
          </w:p>
        </w:tc>
        <w:tc>
          <w:tcPr>
            <w:tcW w:w="1961" w:type="dxa"/>
            <w:tcBorders>
              <w:left w:val="single" w:color="auto" w:sz="4" w:space="0"/>
            </w:tcBorders>
            <w:noWrap w:val="0"/>
            <w:vAlign w:val="center"/>
          </w:tcPr>
          <w:p>
            <w:pPr>
              <w:spacing w:line="44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134.8（左右）</w:t>
            </w:r>
          </w:p>
        </w:tc>
        <w:tc>
          <w:tcPr>
            <w:tcW w:w="1319" w:type="dxa"/>
            <w:noWrap w:val="0"/>
            <w:vAlign w:val="center"/>
          </w:tcPr>
          <w:p>
            <w:pPr>
              <w:spacing w:line="44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458" w:type="dxa"/>
            <w:vMerge w:val="continue"/>
            <w:noWrap w:val="0"/>
            <w:vAlign w:val="center"/>
          </w:tcPr>
          <w:p>
            <w:pPr>
              <w:spacing w:line="440" w:lineRule="exact"/>
              <w:ind w:firstLine="482"/>
              <w:jc w:val="center"/>
              <w:rPr>
                <w:rFonts w:ascii="仿宋_GB2312" w:hAnsi="仿宋_GB2312" w:cs="仿宋_GB2312"/>
                <w:b/>
                <w:bCs/>
                <w:color w:val="000000"/>
                <w:sz w:val="24"/>
              </w:rPr>
            </w:pPr>
          </w:p>
        </w:tc>
        <w:tc>
          <w:tcPr>
            <w:tcW w:w="1343" w:type="dxa"/>
            <w:noWrap w:val="0"/>
            <w:vAlign w:val="center"/>
          </w:tcPr>
          <w:p>
            <w:pPr>
              <w:spacing w:line="440" w:lineRule="exact"/>
              <w:ind w:left="-416" w:firstLine="480"/>
              <w:jc w:val="center"/>
              <w:rPr>
                <w:rFonts w:ascii="仿宋_GB2312" w:hAnsi="仿宋_GB2312" w:cs="仿宋_GB2312"/>
                <w:color w:val="000000"/>
                <w:sz w:val="24"/>
              </w:rPr>
            </w:pPr>
            <w:r>
              <w:rPr>
                <w:rFonts w:hint="eastAsia" w:ascii="仿宋_GB2312" w:hAnsi="仿宋_GB2312" w:cs="仿宋_GB2312"/>
                <w:bCs/>
                <w:color w:val="000000"/>
                <w:sz w:val="24"/>
              </w:rPr>
              <w:t>产量</w:t>
            </w:r>
          </w:p>
        </w:tc>
        <w:tc>
          <w:tcPr>
            <w:tcW w:w="1417" w:type="dxa"/>
            <w:noWrap w:val="0"/>
            <w:vAlign w:val="center"/>
          </w:tcPr>
          <w:p>
            <w:pPr>
              <w:spacing w:line="440" w:lineRule="exact"/>
              <w:ind w:firstLine="0" w:firstLineChars="0"/>
              <w:jc w:val="center"/>
              <w:rPr>
                <w:rFonts w:ascii="仿宋_GB2312" w:hAnsi="仿宋_GB2312" w:cs="仿宋_GB2312"/>
                <w:color w:val="000000"/>
                <w:sz w:val="24"/>
              </w:rPr>
            </w:pPr>
            <w:r>
              <w:rPr>
                <w:rFonts w:hint="eastAsia" w:ascii="仿宋_GB2312" w:hAnsi="仿宋_GB2312" w:cs="仿宋_GB2312"/>
                <w:sz w:val="24"/>
              </w:rPr>
              <w:t>万吨</w:t>
            </w:r>
          </w:p>
        </w:tc>
        <w:tc>
          <w:tcPr>
            <w:tcW w:w="1559" w:type="dxa"/>
            <w:tcBorders>
              <w:right w:val="single" w:color="auto" w:sz="4" w:space="0"/>
            </w:tcBorders>
            <w:noWrap w:val="0"/>
            <w:vAlign w:val="center"/>
          </w:tcPr>
          <w:p>
            <w:pPr>
              <w:spacing w:line="44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47.24</w:t>
            </w:r>
          </w:p>
        </w:tc>
        <w:tc>
          <w:tcPr>
            <w:tcW w:w="1961" w:type="dxa"/>
            <w:tcBorders>
              <w:left w:val="single" w:color="auto" w:sz="4" w:space="0"/>
            </w:tcBorders>
            <w:noWrap w:val="0"/>
            <w:vAlign w:val="center"/>
          </w:tcPr>
          <w:p>
            <w:pPr>
              <w:spacing w:line="44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47.7（左右）</w:t>
            </w:r>
          </w:p>
        </w:tc>
        <w:tc>
          <w:tcPr>
            <w:tcW w:w="1319" w:type="dxa"/>
            <w:noWrap w:val="0"/>
            <w:vAlign w:val="center"/>
          </w:tcPr>
          <w:p>
            <w:pPr>
              <w:spacing w:line="440" w:lineRule="exact"/>
              <w:ind w:firstLine="0" w:firstLineChars="0"/>
              <w:jc w:val="center"/>
              <w:rPr>
                <w:rFonts w:ascii="仿宋_GB2312" w:hAnsi="仿宋_GB2312" w:cs="仿宋_GB2312"/>
                <w:color w:val="000000"/>
                <w:sz w:val="24"/>
              </w:rPr>
            </w:pPr>
            <w:r>
              <w:rPr>
                <w:rFonts w:hint="eastAsia" w:ascii="仿宋_GB2312" w:hAnsi="仿宋_GB2312" w:cs="仿宋_GB2312"/>
                <w:color w:val="000000"/>
                <w:sz w:val="24"/>
              </w:rPr>
              <w:t>约束性</w:t>
            </w:r>
          </w:p>
        </w:tc>
      </w:tr>
    </w:tbl>
    <w:p>
      <w:pPr>
        <w:ind w:firstLine="640"/>
        <w:rPr>
          <w:color w:val="000000"/>
        </w:rPr>
      </w:pPr>
    </w:p>
    <w:bookmarkEnd w:id="315"/>
    <w:bookmarkEnd w:id="316"/>
    <w:bookmarkEnd w:id="317"/>
    <w:p>
      <w:pPr>
        <w:ind w:firstLine="640"/>
      </w:pPr>
      <w:r>
        <w:rPr>
          <w:rFonts w:hint="eastAsia"/>
        </w:rPr>
        <w:t xml:space="preserve">    </w:t>
      </w:r>
      <w:bookmarkStart w:id="318" w:name="_Toc17797"/>
      <w:bookmarkStart w:id="319" w:name="_Toc17471"/>
      <w:bookmarkStart w:id="320" w:name="_Toc24782"/>
    </w:p>
    <w:p>
      <w:pPr>
        <w:adjustRightInd w:val="0"/>
        <w:snapToGrid w:val="0"/>
        <w:spacing w:line="596" w:lineRule="exact"/>
        <w:ind w:firstLine="640"/>
      </w:pPr>
      <w:r>
        <w:rPr>
          <w:rFonts w:ascii="仿宋_GB2312" w:hAnsi="黑体" w:cs="黑体"/>
          <w:color w:val="000000"/>
          <w:kern w:val="44"/>
          <w:szCs w:val="32"/>
          <w:shd w:val="clear" w:color="auto" w:fill="FFFFFF"/>
        </w:rPr>
        <w:br w:type="page"/>
      </w:r>
    </w:p>
    <w:bookmarkEnd w:id="318"/>
    <w:bookmarkEnd w:id="319"/>
    <w:bookmarkEnd w:id="320"/>
    <w:p>
      <w:pPr>
        <w:pStyle w:val="3"/>
        <w:adjustRightInd w:val="0"/>
        <w:snapToGrid w:val="0"/>
        <w:spacing w:before="0" w:after="0" w:line="596" w:lineRule="exact"/>
        <w:rPr>
          <w:b w:val="0"/>
          <w:bCs/>
          <w:sz w:val="32"/>
        </w:rPr>
      </w:pPr>
      <w:bookmarkStart w:id="321" w:name="_Toc6885"/>
      <w:bookmarkStart w:id="322" w:name="_Toc5738"/>
      <w:bookmarkStart w:id="323" w:name="_Toc4339"/>
      <w:bookmarkStart w:id="324" w:name="_Toc25480"/>
      <w:bookmarkStart w:id="325" w:name="_Toc18791"/>
      <w:bookmarkStart w:id="326" w:name="_Toc5168"/>
      <w:bookmarkStart w:id="327" w:name="_Toc17991"/>
      <w:bookmarkStart w:id="328" w:name="_Toc14486"/>
      <w:r>
        <w:rPr>
          <w:rFonts w:hint="eastAsia"/>
          <w:b w:val="0"/>
          <w:bCs/>
          <w:sz w:val="32"/>
        </w:rPr>
        <w:t>第三章　优化特色现代农业产业布局</w:t>
      </w:r>
      <w:bookmarkEnd w:id="321"/>
      <w:bookmarkEnd w:id="322"/>
      <w:bookmarkEnd w:id="323"/>
      <w:bookmarkEnd w:id="324"/>
      <w:bookmarkEnd w:id="325"/>
      <w:bookmarkEnd w:id="326"/>
      <w:bookmarkEnd w:id="327"/>
      <w:bookmarkEnd w:id="328"/>
    </w:p>
    <w:p>
      <w:pPr>
        <w:adjustRightInd w:val="0"/>
        <w:snapToGrid w:val="0"/>
        <w:spacing w:line="596" w:lineRule="exact"/>
        <w:ind w:firstLine="640"/>
        <w:rPr>
          <w:color w:val="000000"/>
        </w:rPr>
      </w:pPr>
    </w:p>
    <w:p>
      <w:pPr>
        <w:adjustRightInd w:val="0"/>
        <w:snapToGrid w:val="0"/>
        <w:spacing w:line="596" w:lineRule="exact"/>
        <w:ind w:firstLine="600"/>
        <w:rPr>
          <w:color w:val="000000"/>
          <w:sz w:val="30"/>
          <w:szCs w:val="30"/>
        </w:rPr>
      </w:pPr>
      <w:r>
        <w:rPr>
          <w:rFonts w:hint="eastAsia"/>
          <w:color w:val="000000"/>
          <w:sz w:val="30"/>
          <w:szCs w:val="30"/>
        </w:rPr>
        <w:t>立足宁德发展实际，积极融入闽东北协同发展区农业发展建设，充分发挥各地比较优势，立足资源禀赋和特色现代农业发展水平，不断优化农业产业布局，加快建设“三区一基地”。</w:t>
      </w:r>
    </w:p>
    <w:p>
      <w:pPr>
        <w:pStyle w:val="21"/>
        <w:adjustRightInd w:val="0"/>
        <w:snapToGrid w:val="0"/>
        <w:spacing w:line="596" w:lineRule="exact"/>
        <w:ind w:firstLine="600"/>
        <w:rPr>
          <w:sz w:val="30"/>
          <w:szCs w:val="30"/>
        </w:rPr>
      </w:pPr>
    </w:p>
    <w:p>
      <w:pPr>
        <w:pStyle w:val="4"/>
        <w:adjustRightInd w:val="0"/>
        <w:snapToGrid w:val="0"/>
        <w:spacing w:line="596" w:lineRule="exact"/>
        <w:rPr>
          <w:rFonts w:ascii="楷体_GB2312" w:hAnsi="楷体_GB2312" w:eastAsia="楷体_GB2312" w:cs="楷体_GB2312"/>
          <w:color w:val="000000"/>
          <w:szCs w:val="32"/>
        </w:rPr>
      </w:pPr>
      <w:bookmarkStart w:id="329" w:name="_Toc19727"/>
      <w:bookmarkStart w:id="330" w:name="_Toc6329"/>
      <w:bookmarkStart w:id="331" w:name="_Toc9745"/>
      <w:bookmarkStart w:id="332" w:name="_Toc31187"/>
      <w:bookmarkStart w:id="333" w:name="_Toc27363"/>
      <w:bookmarkStart w:id="334" w:name="_Toc11248"/>
      <w:bookmarkStart w:id="335" w:name="_Toc26712"/>
      <w:bookmarkStart w:id="336" w:name="_Toc23879"/>
      <w:bookmarkStart w:id="337" w:name="_Toc4086"/>
      <w:bookmarkStart w:id="338" w:name="_Toc10787"/>
      <w:bookmarkStart w:id="339" w:name="_Toc9330"/>
      <w:r>
        <w:rPr>
          <w:rFonts w:hint="eastAsia" w:ascii="楷体_GB2312" w:hAnsi="楷体_GB2312" w:eastAsia="楷体_GB2312" w:cs="楷体_GB2312"/>
          <w:color w:val="000000"/>
          <w:szCs w:val="32"/>
        </w:rPr>
        <w:t>第一节 闽东特色现代农业集聚区</w:t>
      </w:r>
      <w:bookmarkEnd w:id="329"/>
      <w:bookmarkEnd w:id="330"/>
      <w:bookmarkEnd w:id="331"/>
      <w:bookmarkEnd w:id="332"/>
      <w:bookmarkEnd w:id="333"/>
      <w:bookmarkEnd w:id="334"/>
      <w:bookmarkEnd w:id="335"/>
      <w:bookmarkEnd w:id="336"/>
      <w:bookmarkEnd w:id="337"/>
      <w:bookmarkEnd w:id="338"/>
      <w:bookmarkEnd w:id="339"/>
    </w:p>
    <w:p>
      <w:pPr>
        <w:adjustRightInd w:val="0"/>
        <w:snapToGrid w:val="0"/>
        <w:spacing w:line="596" w:lineRule="exact"/>
        <w:ind w:firstLine="600"/>
        <w:rPr>
          <w:rFonts w:hint="eastAsia" w:ascii="仿宋_GB2312" w:hAnsi="仿宋_GB2312" w:cs="仿宋_GB2312"/>
          <w:color w:val="000000"/>
          <w:sz w:val="30"/>
          <w:szCs w:val="30"/>
        </w:rPr>
      </w:pP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实施特色现代农业高质量发展工程，突出高优农业示范区建设，大力发展设施蔬菜、设施瓜果，建立集设施栽培、采摘观光、教育实践、农业科普、休闲创意等为一体的现代农业示范区，实施“4582”产业提升工程，打造4个重点现代农业产业园、5个优势特色产业集群、8个以上农业产业强镇和220个“一村一品”专业村，形成“点、线、面”结合、“市、县（市、区）、镇（乡）、村”有机衔接、梯次推进的发展格局，打造一批农业百亿强县、十亿强镇、亿元强村，争创2－3个国家农业现代化示范区。</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340" w:name="_Toc16749"/>
      <w:bookmarkStart w:id="341" w:name="_Toc6724"/>
      <w:bookmarkStart w:id="342" w:name="_Toc30059"/>
      <w:bookmarkStart w:id="343" w:name="_Toc25107"/>
      <w:bookmarkStart w:id="344" w:name="_Toc13845"/>
      <w:bookmarkStart w:id="345" w:name="_Toc17761"/>
      <w:bookmarkStart w:id="346" w:name="_Toc29812"/>
      <w:bookmarkStart w:id="347" w:name="_Toc16428"/>
      <w:r>
        <w:rPr>
          <w:rFonts w:hint="eastAsia" w:ascii="黑体" w:hAnsi="黑体" w:eastAsia="黑体" w:cs="黑体"/>
          <w:b w:val="0"/>
          <w:bCs/>
          <w:color w:val="000000"/>
          <w:sz w:val="30"/>
          <w:szCs w:val="30"/>
        </w:rPr>
        <w:t>一、现代农业产业园</w:t>
      </w:r>
      <w:bookmarkEnd w:id="340"/>
      <w:bookmarkEnd w:id="341"/>
      <w:bookmarkEnd w:id="342"/>
      <w:bookmarkEnd w:id="343"/>
      <w:bookmarkEnd w:id="344"/>
      <w:bookmarkEnd w:id="345"/>
      <w:bookmarkEnd w:id="346"/>
      <w:bookmarkEnd w:id="347"/>
    </w:p>
    <w:p>
      <w:pPr>
        <w:adjustRightInd w:val="0"/>
        <w:snapToGrid w:val="0"/>
        <w:spacing w:line="596" w:lineRule="exact"/>
        <w:ind w:firstLine="600"/>
        <w:rPr>
          <w:color w:val="000000"/>
          <w:sz w:val="30"/>
          <w:szCs w:val="30"/>
        </w:rPr>
      </w:pPr>
      <w:r>
        <w:rPr>
          <w:rFonts w:hint="eastAsia"/>
          <w:color w:val="000000"/>
          <w:sz w:val="30"/>
          <w:szCs w:val="30"/>
        </w:rPr>
        <w:t>立足全市资源禀赋，以科技开发、示范、辐射和推广为主要内容，以促进农业结构调整和产业升级为目标，以产品、技术和服务为纽带，发挥自身产业优势，从农业生产、加工、流通和销售等环节入手，突出体现农业科技支撑，打造一批现代农业产业园，促进农产品增值，带动农民增收。分级培育和推进现代农业产业园建设，形成新品种新技术引进、标准化生产、农产品加工、营销、物流等各</w:t>
      </w:r>
      <w:r>
        <w:rPr>
          <w:rFonts w:hint="eastAsia" w:ascii="仿宋_GB2312" w:hAnsi="仿宋_GB2312" w:cs="仿宋_GB2312"/>
          <w:color w:val="000000"/>
          <w:sz w:val="30"/>
          <w:szCs w:val="30"/>
        </w:rPr>
        <w:t>种形式的示范园网络。一是在古田县国家级现代农业（食用菌）产业园认定基础上，加快推进产业体系、生产体系、经营体系现代化，为闽东乡村产业振兴做好引领示范；在福鼎市国家级现代农业（茶业）产业园创建的基础上，做好巩固提升，加快推进认定工作。二是按照福建省农业农村厅“3212”工程要求，继续推进福安市现代农业（葡萄）产业园、寿宁县现代农业（茶业）产业园、周宁县现代农业（茶业）产业园、蕉城区现代农业（生猪）产业园、蕉城区现代农业（大黄鱼）产业园等省级产业园建设，到2025年全市建成4个产业特色鲜明、要素高度聚集、设施装备先进、生产方式绿色、经济效益显著、辐射带动有力的重点现代农业产业园。三是围绕各县（市、区）新兴产业和主导产业，继续扶持培育一</w:t>
      </w:r>
      <w:r>
        <w:rPr>
          <w:rFonts w:hint="eastAsia"/>
          <w:color w:val="000000"/>
          <w:sz w:val="30"/>
          <w:szCs w:val="30"/>
        </w:rPr>
        <w:t>批省级现代农业产业园。</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348" w:name="_Toc7617"/>
      <w:bookmarkStart w:id="349" w:name="_Toc1071"/>
      <w:bookmarkStart w:id="350" w:name="_Toc9225"/>
      <w:bookmarkStart w:id="351" w:name="_Toc13020"/>
      <w:bookmarkStart w:id="352" w:name="_Toc9645"/>
      <w:bookmarkStart w:id="353" w:name="_Toc6653"/>
      <w:bookmarkStart w:id="354" w:name="_Toc12217"/>
      <w:bookmarkStart w:id="355" w:name="_Toc30499"/>
      <w:r>
        <w:rPr>
          <w:rFonts w:hint="eastAsia" w:ascii="黑体" w:hAnsi="黑体" w:eastAsia="黑体" w:cs="黑体"/>
          <w:b w:val="0"/>
          <w:bCs/>
          <w:color w:val="000000"/>
          <w:sz w:val="30"/>
          <w:szCs w:val="30"/>
        </w:rPr>
        <w:t>二、优势特色产业集群</w:t>
      </w:r>
      <w:bookmarkEnd w:id="348"/>
      <w:bookmarkEnd w:id="349"/>
      <w:bookmarkEnd w:id="350"/>
      <w:bookmarkEnd w:id="351"/>
      <w:bookmarkEnd w:id="352"/>
      <w:bookmarkEnd w:id="353"/>
      <w:bookmarkEnd w:id="354"/>
      <w:bookmarkEnd w:id="355"/>
    </w:p>
    <w:p>
      <w:pPr>
        <w:adjustRightInd w:val="0"/>
        <w:snapToGrid w:val="0"/>
        <w:spacing w:line="596" w:lineRule="exact"/>
        <w:ind w:firstLine="600"/>
        <w:rPr>
          <w:rFonts w:ascii="仿宋_GB2312" w:hAnsi="仿宋_GB2312" w:cs="仿宋_GB2312"/>
          <w:color w:val="000000"/>
          <w:sz w:val="30"/>
          <w:szCs w:val="30"/>
        </w:rPr>
      </w:pPr>
      <w:r>
        <w:rPr>
          <w:rFonts w:hint="eastAsia"/>
          <w:color w:val="000000"/>
          <w:sz w:val="30"/>
          <w:szCs w:val="30"/>
        </w:rPr>
        <w:t>围绕茶叶、渔业、食用菌、水果、蔬菜、畜禽、中草药</w:t>
      </w:r>
      <w:r>
        <w:rPr>
          <w:rFonts w:hint="eastAsia"/>
          <w:color w:val="000000"/>
          <w:sz w:val="30"/>
          <w:szCs w:val="30"/>
          <w:lang w:eastAsia="zh-CN"/>
        </w:rPr>
        <w:t>材</w:t>
      </w:r>
      <w:r>
        <w:rPr>
          <w:rFonts w:hint="eastAsia"/>
          <w:color w:val="000000"/>
          <w:sz w:val="30"/>
          <w:szCs w:val="30"/>
        </w:rPr>
        <w:t>、林竹花</w:t>
      </w:r>
      <w:r>
        <w:rPr>
          <w:rFonts w:hint="eastAsia" w:ascii="仿宋_GB2312" w:hAnsi="仿宋_GB2312" w:cs="仿宋_GB2312"/>
          <w:color w:val="000000"/>
          <w:sz w:val="30"/>
          <w:szCs w:val="30"/>
        </w:rPr>
        <w:t>卉等8大特色优势生产区，加强同周边地市的衔接合作，主动融入闽东北协同发展区，建设标准化生产基地、加工基地、仓储物流基地，形成特色现代农业产业集群，培植一批规模优势突出、创新能力强、示范带动作用大的产业集聚区。“十四五”期间，参与建设福建红茶优势特色产业集群、福建白茶优势特色产业集群、福建中药材优势特色产业集群、闽东北高山蔬菜优势特色产业集群、福建葡萄优势特色产业集群、福建食用菌优势特色</w:t>
      </w:r>
      <w:r>
        <w:rPr>
          <w:rFonts w:hint="eastAsia"/>
          <w:color w:val="000000"/>
          <w:sz w:val="30"/>
          <w:szCs w:val="30"/>
        </w:rPr>
        <w:t>产业集群、福建鲍鱼优势特色产业集群、福建生猪优势特色产业集群、福建柑橘优势特色产业集群、福建海带优势特色产业集群、福建紫菜优势特色产业</w:t>
      </w:r>
      <w:r>
        <w:rPr>
          <w:rFonts w:hint="eastAsia" w:ascii="仿宋_GB2312" w:hAnsi="仿宋_GB2312" w:cs="仿宋_GB2312"/>
          <w:color w:val="000000"/>
          <w:sz w:val="30"/>
          <w:szCs w:val="30"/>
        </w:rPr>
        <w:t>集群、福建河鲀优势特色产业集群、福建石斑鱼优势特色产业集群、福建大黄鱼优势特色产业集群、福建海参优势特色产业集群、福建海洋捕捞优势特色产业集群等16个特色优势产业集群，争取建成5个特色优势产业集群。</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356" w:name="_Toc2203"/>
      <w:bookmarkStart w:id="357" w:name="_Toc13218"/>
      <w:bookmarkStart w:id="358" w:name="_Toc6052"/>
      <w:bookmarkStart w:id="359" w:name="_Toc5097"/>
      <w:bookmarkStart w:id="360" w:name="_Toc27795"/>
      <w:bookmarkStart w:id="361" w:name="_Toc14638"/>
      <w:bookmarkStart w:id="362" w:name="_Toc19807"/>
      <w:bookmarkStart w:id="363" w:name="_Toc27636"/>
      <w:r>
        <w:rPr>
          <w:rFonts w:hint="eastAsia" w:ascii="黑体" w:hAnsi="黑体" w:eastAsia="黑体" w:cs="黑体"/>
          <w:b w:val="0"/>
          <w:bCs/>
          <w:color w:val="000000"/>
          <w:sz w:val="30"/>
          <w:szCs w:val="30"/>
        </w:rPr>
        <w:t>三、农业产业强镇</w:t>
      </w:r>
      <w:bookmarkEnd w:id="356"/>
      <w:bookmarkEnd w:id="357"/>
      <w:bookmarkEnd w:id="358"/>
      <w:bookmarkEnd w:id="359"/>
      <w:bookmarkEnd w:id="360"/>
      <w:bookmarkEnd w:id="361"/>
      <w:bookmarkEnd w:id="362"/>
      <w:bookmarkEnd w:id="363"/>
    </w:p>
    <w:p>
      <w:pPr>
        <w:adjustRightInd w:val="0"/>
        <w:snapToGrid w:val="0"/>
        <w:spacing w:line="596" w:lineRule="exact"/>
        <w:ind w:firstLine="600"/>
        <w:rPr>
          <w:rFonts w:ascii="仿宋_GB2312" w:hAnsi="仿宋_GB2312" w:cs="仿宋_GB2312"/>
          <w:color w:val="000000"/>
          <w:sz w:val="30"/>
          <w:szCs w:val="30"/>
        </w:rPr>
      </w:pPr>
      <w:r>
        <w:rPr>
          <w:rFonts w:hint="eastAsia"/>
          <w:color w:val="000000"/>
          <w:sz w:val="30"/>
          <w:szCs w:val="30"/>
        </w:rPr>
        <w:t>培育壮大龙头企业，聚焦优势区域主导产业，构建乡村产业“点”状发展格局。依托镇域资源优势，聚集资源要素，健全利益联结机制，将更多的资金、技术、人才、信息等现代要素引向农业，建设一批基础条件好、主导产业突出、带动效果显著的农业产业强镇，跨界配置农业和</w:t>
      </w:r>
      <w:r>
        <w:rPr>
          <w:rFonts w:hint="eastAsia" w:ascii="仿宋_GB2312" w:hAnsi="仿宋_GB2312" w:cs="仿宋_GB2312"/>
          <w:color w:val="000000"/>
          <w:sz w:val="30"/>
          <w:szCs w:val="30"/>
        </w:rPr>
        <w:t>现代产业要素，培育乡村产业“增长极”。创新业态模式，拓展农业功能，发掘乡村价值。到2025年，乡村产业发展在土地规模经营、组织企业化、技术现代化、服务专业化、经营市场化取得重大突破，以40个农业产业强镇重点培育对象为主，争取建成8个以上农业产业强镇。</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364" w:name="_Toc22875"/>
      <w:bookmarkStart w:id="365" w:name="_Toc22632"/>
      <w:bookmarkStart w:id="366" w:name="_Toc29027"/>
      <w:bookmarkStart w:id="367" w:name="_Toc32195"/>
      <w:bookmarkStart w:id="368" w:name="_Toc12313"/>
      <w:bookmarkStart w:id="369" w:name="_Toc28925"/>
      <w:bookmarkStart w:id="370" w:name="_Toc31670"/>
      <w:bookmarkStart w:id="371" w:name="_Toc3712"/>
      <w:r>
        <w:rPr>
          <w:rFonts w:hint="eastAsia" w:ascii="黑体" w:hAnsi="黑体" w:eastAsia="黑体" w:cs="黑体"/>
          <w:b w:val="0"/>
          <w:bCs/>
          <w:color w:val="000000"/>
          <w:sz w:val="30"/>
          <w:szCs w:val="30"/>
        </w:rPr>
        <w:t>四、“一村一品”专业村</w:t>
      </w:r>
      <w:bookmarkEnd w:id="364"/>
      <w:bookmarkEnd w:id="365"/>
      <w:bookmarkEnd w:id="366"/>
      <w:bookmarkEnd w:id="367"/>
      <w:bookmarkEnd w:id="368"/>
      <w:bookmarkEnd w:id="369"/>
      <w:bookmarkEnd w:id="370"/>
      <w:bookmarkEnd w:id="371"/>
    </w:p>
    <w:p>
      <w:pPr>
        <w:adjustRightInd w:val="0"/>
        <w:snapToGrid w:val="0"/>
        <w:spacing w:line="596" w:lineRule="exact"/>
        <w:ind w:firstLine="600"/>
        <w:rPr>
          <w:rFonts w:ascii="仿宋_GB2312" w:hAnsi="仿宋_GB2312" w:cs="仿宋_GB2312"/>
          <w:color w:val="000000"/>
          <w:sz w:val="30"/>
          <w:szCs w:val="30"/>
        </w:rPr>
      </w:pPr>
      <w:r>
        <w:rPr>
          <w:rFonts w:hint="eastAsia"/>
          <w:color w:val="000000"/>
          <w:sz w:val="30"/>
          <w:szCs w:val="30"/>
        </w:rPr>
        <w:t>全市紧扣乡村产业振兴目标，以村为单位，立足本地农业农村资源</w:t>
      </w:r>
      <w:r>
        <w:rPr>
          <w:rFonts w:hint="eastAsia" w:ascii="仿宋_GB2312" w:hAnsi="仿宋_GB2312" w:cs="仿宋_GB2312"/>
          <w:color w:val="000000"/>
          <w:sz w:val="30"/>
          <w:szCs w:val="30"/>
        </w:rPr>
        <w:t>，按照国内外市场需求，重点围绕茶叶、渔业、食用菌、水果、蔬菜、中草药材、畜牧、林竹花卉等优势特色产业，大力推进规模化、标准化、品牌化和市场化建设。到2025年，培育220个主导产业突出、品牌特色明显、经济活力强劲、乡村环境优美和农民生活富裕的“一村一品”专业村。</w:t>
      </w:r>
    </w:p>
    <w:p>
      <w:pPr>
        <w:pStyle w:val="21"/>
        <w:adjustRightInd w:val="0"/>
        <w:snapToGrid w:val="0"/>
        <w:spacing w:line="560" w:lineRule="exact"/>
        <w:ind w:firstLine="640"/>
      </w:pPr>
    </w:p>
    <w:p>
      <w:pPr>
        <w:pStyle w:val="4"/>
        <w:adjustRightInd w:val="0"/>
        <w:snapToGrid w:val="0"/>
        <w:spacing w:line="560" w:lineRule="exact"/>
        <w:rPr>
          <w:rFonts w:ascii="楷体_GB2312" w:hAnsi="楷体_GB2312" w:eastAsia="楷体_GB2312" w:cs="楷体_GB2312"/>
          <w:color w:val="000000"/>
          <w:szCs w:val="32"/>
        </w:rPr>
      </w:pPr>
      <w:bookmarkStart w:id="372" w:name="_Toc8937"/>
      <w:bookmarkStart w:id="373" w:name="_Toc31234"/>
      <w:bookmarkStart w:id="374" w:name="_Toc7093"/>
      <w:bookmarkStart w:id="375" w:name="_Toc3833"/>
      <w:bookmarkStart w:id="376" w:name="_Toc4911"/>
      <w:bookmarkStart w:id="377" w:name="_Toc23458"/>
      <w:bookmarkStart w:id="378" w:name="_Toc3757"/>
      <w:bookmarkStart w:id="379" w:name="_Toc17669"/>
      <w:bookmarkStart w:id="380" w:name="_Toc19876"/>
      <w:bookmarkStart w:id="381" w:name="_Toc32239"/>
      <w:bookmarkStart w:id="382" w:name="_Toc15511"/>
      <w:r>
        <w:rPr>
          <w:rFonts w:hint="eastAsia" w:ascii="楷体_GB2312" w:hAnsi="楷体_GB2312" w:eastAsia="楷体_GB2312" w:cs="楷体_GB2312"/>
          <w:color w:val="000000"/>
          <w:szCs w:val="32"/>
        </w:rPr>
        <w:t>第二节 闽东山地农业绿色发展先行区</w:t>
      </w:r>
      <w:bookmarkEnd w:id="372"/>
      <w:bookmarkEnd w:id="373"/>
      <w:bookmarkEnd w:id="374"/>
      <w:bookmarkEnd w:id="375"/>
      <w:bookmarkEnd w:id="376"/>
      <w:bookmarkEnd w:id="377"/>
      <w:bookmarkEnd w:id="378"/>
      <w:bookmarkEnd w:id="379"/>
      <w:bookmarkEnd w:id="380"/>
      <w:bookmarkEnd w:id="381"/>
      <w:bookmarkEnd w:id="382"/>
    </w:p>
    <w:p>
      <w:pPr>
        <w:adjustRightInd w:val="0"/>
        <w:snapToGrid w:val="0"/>
        <w:spacing w:line="560" w:lineRule="exact"/>
        <w:ind w:firstLine="600"/>
        <w:rPr>
          <w:color w:val="000000"/>
          <w:sz w:val="30"/>
          <w:szCs w:val="30"/>
        </w:rPr>
      </w:pPr>
    </w:p>
    <w:p>
      <w:pPr>
        <w:adjustRightInd w:val="0"/>
        <w:snapToGrid w:val="0"/>
        <w:spacing w:line="560" w:lineRule="exact"/>
        <w:ind w:firstLine="600"/>
        <w:rPr>
          <w:color w:val="000000"/>
          <w:sz w:val="30"/>
          <w:szCs w:val="30"/>
        </w:rPr>
      </w:pPr>
      <w:r>
        <w:rPr>
          <w:rFonts w:hint="eastAsia"/>
          <w:color w:val="000000"/>
          <w:sz w:val="30"/>
          <w:szCs w:val="30"/>
        </w:rPr>
        <w:t>践行绿水青山就是金山银山理念，以资源环境承载力为基准，以优化空间布局、节约利用资源、保护产地环境、提升生态服务功能为重点，把绿色发展贯穿于农业发展全过程，着力创新农业绿色发展体制机制，构建农业绿色发展政策体系，全面推进特色现代农业绿色发展。</w:t>
      </w:r>
    </w:p>
    <w:p>
      <w:pPr>
        <w:adjustRightInd w:val="0"/>
        <w:snapToGrid w:val="0"/>
        <w:spacing w:line="560" w:lineRule="exact"/>
        <w:ind w:firstLine="600"/>
        <w:rPr>
          <w:color w:val="000000"/>
          <w:sz w:val="30"/>
          <w:szCs w:val="30"/>
        </w:rPr>
      </w:pPr>
      <w:r>
        <w:rPr>
          <w:rFonts w:hint="eastAsia"/>
          <w:color w:val="000000"/>
          <w:sz w:val="30"/>
          <w:szCs w:val="30"/>
        </w:rPr>
        <w:t>古田、屏南、周宁、寿宁、柘荣等五个山区县加快发展山区绿色经济带，发挥山地特色资源优势，加快发展茶叶、食用菌、果蔬、中草药材、林竹花卉等绿色产业。支持寿宁县加快发展生态硒锌产业。加快山地生态农业全产业链发展，着力延伸产业链，完善绿色农产品产业体系。在纵向上，推动山地农业向高质量发展，在横向上，大力发展绿色农产品生态农业、设施农业、体验农业、定制农业、特色美食、冷链配送、物流快递、电子商务等关联产业，拓宽绿色农产品的盈利渠道，丰富绿色农产品的供给方式，拓展农民增收空间。在外围上，充分发挥农业溢出效应，推进乡村整体经营，大力发展农业文化创意、田园休闲旅游、农村旅居养老等衍生行业，</w:t>
      </w:r>
      <w:r>
        <w:rPr>
          <w:rFonts w:hint="eastAsia"/>
          <w:color w:val="000000"/>
          <w:spacing w:val="-6"/>
          <w:sz w:val="30"/>
          <w:szCs w:val="30"/>
        </w:rPr>
        <w:t>强化产业耦合配套，促进生态农业与其他产业的融合发展、共同进步。</w:t>
      </w:r>
    </w:p>
    <w:p>
      <w:pPr>
        <w:pStyle w:val="21"/>
        <w:adjustRightInd w:val="0"/>
        <w:snapToGrid w:val="0"/>
        <w:spacing w:line="560" w:lineRule="exact"/>
        <w:ind w:firstLine="640"/>
      </w:pPr>
    </w:p>
    <w:p>
      <w:pPr>
        <w:pStyle w:val="4"/>
        <w:adjustRightInd w:val="0"/>
        <w:snapToGrid w:val="0"/>
        <w:spacing w:line="560" w:lineRule="exact"/>
        <w:rPr>
          <w:rFonts w:ascii="楷体_GB2312" w:hAnsi="楷体_GB2312" w:eastAsia="楷体_GB2312" w:cs="楷体_GB2312"/>
          <w:color w:val="000000"/>
          <w:szCs w:val="32"/>
        </w:rPr>
      </w:pPr>
      <w:bookmarkStart w:id="383" w:name="_Toc3608"/>
      <w:bookmarkStart w:id="384" w:name="_Toc13490"/>
      <w:bookmarkStart w:id="385" w:name="_Toc29552"/>
      <w:bookmarkStart w:id="386" w:name="_Toc26503"/>
      <w:bookmarkStart w:id="387" w:name="_Toc4142"/>
      <w:bookmarkStart w:id="388" w:name="_Toc11883"/>
      <w:bookmarkStart w:id="389" w:name="_Toc13589"/>
      <w:bookmarkStart w:id="390" w:name="_Toc10204"/>
      <w:bookmarkStart w:id="391" w:name="_Toc15886"/>
      <w:bookmarkStart w:id="392" w:name="_Toc7103"/>
      <w:bookmarkStart w:id="393" w:name="_Toc28704"/>
      <w:r>
        <w:rPr>
          <w:rFonts w:hint="eastAsia" w:ascii="楷体_GB2312" w:hAnsi="楷体_GB2312" w:eastAsia="楷体_GB2312" w:cs="楷体_GB2312"/>
          <w:color w:val="000000"/>
          <w:szCs w:val="32"/>
        </w:rPr>
        <w:t>第三节 山海农业融合发展示范区</w:t>
      </w:r>
      <w:bookmarkEnd w:id="383"/>
      <w:bookmarkEnd w:id="384"/>
      <w:bookmarkEnd w:id="385"/>
      <w:bookmarkEnd w:id="386"/>
      <w:bookmarkEnd w:id="387"/>
      <w:bookmarkEnd w:id="388"/>
      <w:bookmarkEnd w:id="389"/>
      <w:bookmarkEnd w:id="390"/>
      <w:bookmarkEnd w:id="391"/>
      <w:bookmarkEnd w:id="392"/>
      <w:bookmarkEnd w:id="393"/>
    </w:p>
    <w:p>
      <w:pPr>
        <w:adjustRightInd w:val="0"/>
        <w:snapToGrid w:val="0"/>
        <w:spacing w:line="596" w:lineRule="exact"/>
        <w:ind w:firstLine="600"/>
        <w:rPr>
          <w:color w:val="000000"/>
          <w:sz w:val="30"/>
          <w:szCs w:val="30"/>
        </w:rPr>
      </w:pPr>
    </w:p>
    <w:p>
      <w:pPr>
        <w:adjustRightInd w:val="0"/>
        <w:snapToGrid w:val="0"/>
        <w:spacing w:line="596" w:lineRule="exact"/>
        <w:ind w:firstLine="600"/>
        <w:rPr>
          <w:color w:val="000000"/>
          <w:sz w:val="30"/>
          <w:szCs w:val="30"/>
        </w:rPr>
      </w:pPr>
      <w:bookmarkStart w:id="394" w:name="_Toc4533_WPSOffice_Level1"/>
      <w:bookmarkStart w:id="395" w:name="_Toc528097268"/>
      <w:bookmarkStart w:id="396" w:name="_Toc528097327"/>
      <w:bookmarkStart w:id="397" w:name="_Toc13090_WPSOffice_Level1"/>
      <w:bookmarkStart w:id="398" w:name="_Toc533860291"/>
      <w:r>
        <w:rPr>
          <w:rFonts w:hint="eastAsia"/>
          <w:color w:val="000000"/>
          <w:sz w:val="30"/>
          <w:szCs w:val="30"/>
        </w:rPr>
        <w:t>结合宁德山海资源优势，围绕打造山海农业融合发展第一基地，坚持先行先试，着力创新山海农业合作新机制、新模式，推动山海农业资源要素深度对接，建立山海农业融合发展新载体和示范窗口。蕉城、福安、福鼎、霞浦等四个县（市、区）加快发展沿海蓝色经济产业带，发挥沿海资源优势，加快发展水产养殖业、水产加工业，配套建立水产品交易市场、冷藏库以及水产物流码头，建设闽台水产交易平台，优化产业链分工布局，增强产业集中度和综合配套能力，进一步巩固、发展环三都澳和沙埕港区域海洋渔业领先、示范的地位。推广寿宁县、古田县国家农村产业融合发展示范园成功经验，积极推动农村一二三产业融合发展。以市场需求为导向，因地制宜发展高山蔬菜、工厂化珍稀食用菌、早熟晚熟水果、高山冷凉花卉、闽东山羊等特色优势农产品，以精品化提升农产品附加价值。推进农村电子商务第三方服务平台建设，逐步建立“互联网+冷链物流”销售服务体系，推进福安市、古田县等“互联网+”农产品出村进城工程试点县建设工作。以“绿色宁德”品牌为统领，立足宁德特色资源优势，鼓励发展农旅结合、茶旅结合、海旅结合、森旅结合等新业态，大力扶持霞浦、屏南、寿宁等地休闲民宿产业，积极探索农村资产资本化。</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Cs w:val="32"/>
        </w:rPr>
      </w:pPr>
      <w:bookmarkStart w:id="399" w:name="_Toc25421"/>
      <w:bookmarkStart w:id="400" w:name="_Toc26488"/>
      <w:bookmarkStart w:id="401" w:name="_Toc30825"/>
      <w:bookmarkStart w:id="402" w:name="_Toc9803"/>
      <w:bookmarkStart w:id="403" w:name="_Toc28724"/>
      <w:bookmarkStart w:id="404" w:name="_Toc7238"/>
      <w:bookmarkStart w:id="405" w:name="_Toc14560"/>
      <w:bookmarkStart w:id="406" w:name="_Toc7995"/>
      <w:bookmarkStart w:id="407" w:name="_Toc25789"/>
      <w:bookmarkStart w:id="408" w:name="_Toc13507"/>
      <w:r>
        <w:rPr>
          <w:rFonts w:hint="eastAsia" w:ascii="楷体_GB2312" w:hAnsi="楷体_GB2312" w:eastAsia="楷体_GB2312" w:cs="楷体_GB2312"/>
          <w:color w:val="000000"/>
          <w:szCs w:val="32"/>
        </w:rPr>
        <w:t xml:space="preserve">第四节 </w:t>
      </w:r>
      <w:bookmarkEnd w:id="399"/>
      <w:bookmarkEnd w:id="400"/>
      <w:r>
        <w:rPr>
          <w:rFonts w:hint="eastAsia" w:ascii="楷体_GB2312" w:hAnsi="楷体_GB2312" w:eastAsia="楷体_GB2312" w:cs="楷体_GB2312"/>
          <w:color w:val="000000"/>
          <w:szCs w:val="32"/>
        </w:rPr>
        <w:t>数字农业创新应用基地</w:t>
      </w:r>
      <w:bookmarkEnd w:id="401"/>
      <w:bookmarkEnd w:id="402"/>
      <w:bookmarkEnd w:id="403"/>
      <w:bookmarkEnd w:id="404"/>
      <w:bookmarkEnd w:id="405"/>
      <w:bookmarkEnd w:id="406"/>
      <w:bookmarkEnd w:id="407"/>
      <w:bookmarkEnd w:id="408"/>
    </w:p>
    <w:p>
      <w:pPr>
        <w:adjustRightInd w:val="0"/>
        <w:snapToGrid w:val="0"/>
        <w:spacing w:line="596" w:lineRule="exact"/>
        <w:ind w:firstLine="600"/>
        <w:rPr>
          <w:rFonts w:ascii="仿宋_GB2312" w:hAnsi="仿宋_GB2312" w:cs="仿宋_GB2312"/>
          <w:color w:val="000000"/>
          <w:sz w:val="30"/>
          <w:szCs w:val="30"/>
        </w:rPr>
      </w:pP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建设数字农业创新应用基地，推动智慧农机建设，打造智慧农机信息服务平台，重点发展菌菇房智能环境测控、北斗遥感监测等先进技术，促进主要农作物全程机械化，提高农业经营主体智能化装备水平。依托现代农业产业园，建设云端农业科技服务体系，推广“互联网+农业科技综合服务”，提供线上线下联动的科技服务模式。推进农产品智慧批发市场建设，升级改造规模以上农产品批发市场，增加智能交易、农产品“一品一码”溯源等系统。推广蕉城区南阳省级现代农业智慧园、福安数字化农业示范县建设经验，建设数字农业创新应用基地。</w:t>
      </w:r>
    </w:p>
    <w:p>
      <w:pPr>
        <w:pStyle w:val="5"/>
        <w:spacing w:line="520" w:lineRule="exact"/>
        <w:ind w:firstLine="643"/>
        <w:jc w:val="center"/>
      </w:pPr>
    </w:p>
    <w:tbl>
      <w:tblPr>
        <w:tblStyle w:val="16"/>
        <w:tblW w:w="8495" w:type="dxa"/>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495" w:type="dxa"/>
            <w:tcBorders>
              <w:top w:val="single" w:color="auto" w:sz="4" w:space="0"/>
            </w:tcBorders>
            <w:noWrap w:val="0"/>
            <w:vAlign w:val="top"/>
          </w:tcPr>
          <w:p>
            <w:pPr>
              <w:spacing w:beforeLines="50" w:line="360" w:lineRule="exact"/>
              <w:ind w:firstLine="602"/>
              <w:jc w:val="center"/>
              <w:rPr>
                <w:rFonts w:ascii="楷体" w:hAnsi="楷体" w:eastAsia="楷体" w:cs="楷体"/>
                <w:b/>
                <w:bCs/>
                <w:color w:val="000000"/>
                <w:sz w:val="30"/>
                <w:szCs w:val="30"/>
              </w:rPr>
            </w:pPr>
            <w:bookmarkStart w:id="409" w:name="_Toc1810"/>
            <w:bookmarkStart w:id="410" w:name="_Toc23876"/>
            <w:bookmarkStart w:id="411" w:name="_Toc9324"/>
            <w:bookmarkStart w:id="412" w:name="_Toc9147"/>
            <w:bookmarkStart w:id="413" w:name="_Toc10971"/>
            <w:bookmarkStart w:id="414" w:name="_Toc31685"/>
            <w:bookmarkStart w:id="415" w:name="_Toc15775"/>
            <w:r>
              <w:rPr>
                <w:rFonts w:hint="eastAsia" w:ascii="黑体" w:hAnsi="黑体" w:eastAsia="黑体" w:cs="黑体"/>
                <w:b w:val="0"/>
                <w:bCs/>
                <w:color w:val="000000"/>
                <w:sz w:val="30"/>
                <w:szCs w:val="30"/>
              </w:rPr>
              <w:t>专栏4：特色现代农业产业集聚行动</w:t>
            </w:r>
            <w:bookmarkEnd w:id="409"/>
            <w:bookmarkEnd w:id="410"/>
            <w:bookmarkEnd w:id="411"/>
            <w:bookmarkEnd w:id="412"/>
            <w:bookmarkEnd w:id="413"/>
            <w:bookmarkEnd w:id="414"/>
            <w:bookmarkEnd w:id="4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495" w:type="dxa"/>
            <w:tcBorders>
              <w:top w:val="single" w:color="auto" w:sz="4" w:space="0"/>
            </w:tcBorders>
            <w:noWrap w:val="0"/>
            <w:vAlign w:val="top"/>
          </w:tcPr>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1.优势特色产业集群工程：</w:t>
            </w:r>
            <w:r>
              <w:rPr>
                <w:rFonts w:hint="eastAsia" w:ascii="仿宋_GB2312" w:hAnsi="仿宋_GB2312" w:cs="仿宋_GB2312"/>
                <w:color w:val="000000"/>
                <w:sz w:val="24"/>
              </w:rPr>
              <w:t>立足资源禀赋、产业基础，在全市范围内筛选一批全产业链产值50亿元以上的优势产业，优化一产、深化二产、强化三产，推动“小特产”升级为“大产业”，融入省特色优势特色产业集群发展格局。到2025年，融入参与创建16个重点优势特色产业集群，争取建成5个优势特色产业集群。</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2.现代农业产业园创建工程：</w:t>
            </w:r>
            <w:r>
              <w:rPr>
                <w:rFonts w:hint="eastAsia" w:ascii="仿宋_GB2312" w:hAnsi="仿宋_GB2312" w:cs="仿宋_GB2312"/>
                <w:color w:val="000000"/>
                <w:sz w:val="24"/>
              </w:rPr>
              <w:t>推动产业要素向园区流动集聚，建设一批生产功能突出、产业特色鲜明、要素高度集聚、设施装备先进、生产方式绿色、经济效益显著、辐射带动有力的现代农业产业园。到2025年，全市完成福鼎国家级现代农业（茶业）产业园认定工作，新创建1个以上省级现代农业产业园。</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3.农业产业强镇培育工程：</w:t>
            </w:r>
            <w:r>
              <w:rPr>
                <w:rFonts w:hint="eastAsia" w:ascii="仿宋_GB2312" w:hAnsi="仿宋_GB2312" w:cs="仿宋_GB2312"/>
                <w:color w:val="000000"/>
                <w:sz w:val="24"/>
              </w:rPr>
              <w:t>依托镇域资源优势，聚集资源要素，健全利益联结机制，建设一批基础条件好、主导产业突出、带动效果显著的农业产业强镇，培育乡村产业“增长极”。到2025年，争取全市农业产业强镇达到8个。</w:t>
            </w:r>
          </w:p>
          <w:p>
            <w:pPr>
              <w:spacing w:line="460" w:lineRule="exact"/>
              <w:ind w:firstLine="482"/>
              <w:rPr>
                <w:rFonts w:ascii="仿宋_GB2312"/>
                <w:color w:val="000000"/>
                <w:kern w:val="0"/>
                <w:sz w:val="28"/>
                <w:szCs w:val="28"/>
              </w:rPr>
            </w:pPr>
            <w:r>
              <w:rPr>
                <w:rFonts w:hint="eastAsia" w:ascii="仿宋_GB2312" w:hAnsi="仿宋_GB2312" w:cs="仿宋_GB2312"/>
                <w:b/>
                <w:bCs/>
                <w:color w:val="000000"/>
                <w:sz w:val="24"/>
              </w:rPr>
              <w:t>4.“一村一品”专业村创建工程：</w:t>
            </w:r>
            <w:r>
              <w:rPr>
                <w:rFonts w:hint="eastAsia" w:ascii="仿宋_GB2312" w:hAnsi="仿宋_GB2312" w:cs="仿宋_GB2312"/>
                <w:color w:val="000000"/>
                <w:sz w:val="24"/>
              </w:rPr>
              <w:t>围绕特色优势产业，聚焦优势主导产业，发展壮大乡村产业，建设一批主导产业突出、发展特色鲜明、品牌效应明显的“一村一品”专业村。到2025年，培育220个“一村一品”专业村。</w:t>
            </w:r>
          </w:p>
        </w:tc>
      </w:tr>
    </w:tbl>
    <w:p>
      <w:pPr>
        <w:ind w:firstLine="640"/>
        <w:rPr>
          <w:bCs/>
          <w:color w:val="000000"/>
        </w:rPr>
      </w:pPr>
      <w:r>
        <w:rPr>
          <w:color w:val="000000"/>
        </w:rPr>
        <w:br w:type="page"/>
      </w:r>
      <w:bookmarkStart w:id="416" w:name="_Toc27643"/>
      <w:bookmarkStart w:id="417" w:name="_Toc13769"/>
      <w:bookmarkStart w:id="418" w:name="_Toc27856"/>
      <w:bookmarkStart w:id="419" w:name="_Toc27229"/>
      <w:bookmarkStart w:id="420" w:name="_Toc13733"/>
      <w:bookmarkStart w:id="421" w:name="_Toc14815"/>
      <w:bookmarkStart w:id="422" w:name="_Toc26241"/>
      <w:bookmarkStart w:id="423" w:name="_Toc27174"/>
      <w:bookmarkStart w:id="424" w:name="_Toc3355"/>
      <w:bookmarkStart w:id="425" w:name="_Toc22683"/>
      <w:bookmarkStart w:id="426" w:name="_Toc27455"/>
    </w:p>
    <w:p>
      <w:pPr>
        <w:pStyle w:val="3"/>
        <w:adjustRightInd w:val="0"/>
        <w:snapToGrid w:val="0"/>
        <w:spacing w:before="0" w:after="0" w:line="596" w:lineRule="exact"/>
        <w:rPr>
          <w:b w:val="0"/>
          <w:bCs/>
          <w:color w:val="000000"/>
          <w:sz w:val="32"/>
        </w:rPr>
      </w:pPr>
      <w:r>
        <w:rPr>
          <w:rFonts w:hint="eastAsia"/>
          <w:b w:val="0"/>
          <w:bCs/>
          <w:color w:val="000000"/>
          <w:sz w:val="32"/>
        </w:rPr>
        <w:t>第四章 确保粮食安全</w:t>
      </w:r>
      <w:bookmarkEnd w:id="416"/>
      <w:bookmarkEnd w:id="417"/>
      <w:bookmarkEnd w:id="418"/>
      <w:bookmarkEnd w:id="419"/>
      <w:bookmarkEnd w:id="420"/>
      <w:bookmarkEnd w:id="421"/>
      <w:bookmarkEnd w:id="422"/>
    </w:p>
    <w:p>
      <w:pPr>
        <w:adjustRightInd w:val="0"/>
        <w:snapToGrid w:val="0"/>
        <w:spacing w:line="596" w:lineRule="exact"/>
        <w:ind w:firstLine="640"/>
      </w:pPr>
      <w:bookmarkStart w:id="427" w:name="_Toc4921"/>
      <w:bookmarkStart w:id="428" w:name="_Toc10925"/>
      <w:bookmarkStart w:id="429" w:name="_Toc27255"/>
      <w:bookmarkStart w:id="430" w:name="_Toc17960"/>
      <w:bookmarkStart w:id="431" w:name="_Toc15544"/>
      <w:bookmarkStart w:id="432" w:name="_Toc21221"/>
    </w:p>
    <w:p>
      <w:pPr>
        <w:pStyle w:val="4"/>
        <w:adjustRightInd w:val="0"/>
        <w:snapToGrid w:val="0"/>
        <w:spacing w:line="596" w:lineRule="exact"/>
        <w:rPr>
          <w:rFonts w:ascii="楷体_GB2312" w:hAnsi="楷体_GB2312" w:eastAsia="楷体_GB2312" w:cs="楷体_GB2312"/>
          <w:color w:val="000000"/>
          <w:szCs w:val="32"/>
        </w:rPr>
      </w:pPr>
      <w:bookmarkStart w:id="433" w:name="_Toc18725"/>
      <w:r>
        <w:rPr>
          <w:rFonts w:hint="eastAsia" w:ascii="楷体_GB2312" w:hAnsi="楷体_GB2312" w:eastAsia="楷体_GB2312" w:cs="楷体_GB2312"/>
          <w:color w:val="000000"/>
          <w:szCs w:val="32"/>
        </w:rPr>
        <w:t>第一节 巩固提升粮食综合生产能力</w:t>
      </w:r>
      <w:bookmarkEnd w:id="427"/>
      <w:bookmarkEnd w:id="428"/>
      <w:bookmarkEnd w:id="429"/>
      <w:bookmarkEnd w:id="430"/>
      <w:bookmarkEnd w:id="431"/>
      <w:bookmarkEnd w:id="432"/>
      <w:bookmarkEnd w:id="433"/>
    </w:p>
    <w:p>
      <w:pPr>
        <w:adjustRightInd w:val="0"/>
        <w:snapToGrid w:val="0"/>
        <w:spacing w:line="596" w:lineRule="exact"/>
        <w:ind w:firstLine="602"/>
        <w:rPr>
          <w:b/>
          <w:bCs/>
          <w:color w:val="000000"/>
          <w:sz w:val="30"/>
          <w:szCs w:val="30"/>
        </w:rPr>
      </w:pPr>
    </w:p>
    <w:p>
      <w:pPr>
        <w:adjustRightInd w:val="0"/>
        <w:snapToGrid w:val="0"/>
        <w:spacing w:line="596" w:lineRule="exact"/>
        <w:ind w:firstLine="602"/>
        <w:rPr>
          <w:rFonts w:hint="eastAsia" w:ascii="黑体" w:hAnsi="黑体" w:eastAsia="黑体" w:cs="黑体"/>
          <w:b w:val="0"/>
          <w:bCs w:val="0"/>
          <w:color w:val="000000"/>
          <w:sz w:val="30"/>
          <w:szCs w:val="30"/>
        </w:rPr>
      </w:pPr>
      <w:r>
        <w:rPr>
          <w:rFonts w:hint="eastAsia" w:ascii="黑体" w:hAnsi="黑体" w:eastAsia="黑体" w:cs="黑体"/>
          <w:b w:val="0"/>
          <w:bCs w:val="0"/>
          <w:color w:val="000000"/>
          <w:sz w:val="30"/>
          <w:szCs w:val="30"/>
          <w:lang w:eastAsia="zh-CN"/>
        </w:rPr>
        <w:t>一、</w:t>
      </w:r>
      <w:r>
        <w:rPr>
          <w:rFonts w:hint="eastAsia" w:ascii="黑体" w:hAnsi="黑体" w:eastAsia="黑体" w:cs="黑体"/>
          <w:b w:val="0"/>
          <w:bCs w:val="0"/>
          <w:color w:val="000000"/>
          <w:sz w:val="30"/>
          <w:szCs w:val="30"/>
        </w:rPr>
        <w:t>发展定位</w:t>
      </w:r>
    </w:p>
    <w:p>
      <w:pPr>
        <w:adjustRightInd w:val="0"/>
        <w:snapToGrid w:val="0"/>
        <w:spacing w:line="596" w:lineRule="exact"/>
        <w:ind w:firstLine="600"/>
        <w:rPr>
          <w:color w:val="000000"/>
          <w:sz w:val="30"/>
          <w:szCs w:val="30"/>
        </w:rPr>
      </w:pPr>
      <w:r>
        <w:rPr>
          <w:rFonts w:hint="eastAsia"/>
          <w:color w:val="000000"/>
          <w:sz w:val="30"/>
          <w:szCs w:val="30"/>
        </w:rPr>
        <w:t>优化品质攻单产，农机农艺相结合，综合开发增效益，确保“米袋子”的安全。在保证现有粮食播种面积的基础上，重点发展名特优新的优质粮食作物，扩大专用马铃薯、甘薯品种覆盖面积形成具有闽东特色的功能性优质粮食产业示范区，打造闽东重要粮食供应基地。</w:t>
      </w:r>
    </w:p>
    <w:p>
      <w:pPr>
        <w:adjustRightInd w:val="0"/>
        <w:snapToGrid w:val="0"/>
        <w:spacing w:line="596" w:lineRule="exact"/>
        <w:ind w:firstLine="602"/>
        <w:rPr>
          <w:rFonts w:hint="eastAsia" w:ascii="黑体" w:hAnsi="黑体" w:eastAsia="黑体" w:cs="黑体"/>
          <w:b w:val="0"/>
          <w:bCs w:val="0"/>
          <w:color w:val="000000"/>
          <w:sz w:val="30"/>
          <w:szCs w:val="30"/>
        </w:rPr>
      </w:pPr>
      <w:r>
        <w:rPr>
          <w:rFonts w:hint="eastAsia" w:ascii="黑体" w:hAnsi="黑体" w:eastAsia="黑体" w:cs="黑体"/>
          <w:b w:val="0"/>
          <w:bCs w:val="0"/>
          <w:color w:val="000000"/>
          <w:sz w:val="30"/>
          <w:szCs w:val="30"/>
          <w:lang w:eastAsia="zh-CN"/>
        </w:rPr>
        <w:t>二、</w:t>
      </w:r>
      <w:r>
        <w:rPr>
          <w:rFonts w:hint="eastAsia" w:ascii="黑体" w:hAnsi="黑体" w:eastAsia="黑体" w:cs="黑体"/>
          <w:b w:val="0"/>
          <w:bCs w:val="0"/>
          <w:color w:val="000000"/>
          <w:sz w:val="30"/>
          <w:szCs w:val="30"/>
        </w:rPr>
        <w:t>发展目标</w:t>
      </w:r>
    </w:p>
    <w:p>
      <w:pPr>
        <w:adjustRightInd w:val="0"/>
        <w:snapToGrid w:val="0"/>
        <w:spacing w:line="596" w:lineRule="exact"/>
        <w:ind w:firstLine="600"/>
        <w:rPr>
          <w:color w:val="000000"/>
          <w:sz w:val="30"/>
          <w:szCs w:val="30"/>
        </w:rPr>
      </w:pPr>
      <w:r>
        <w:rPr>
          <w:rFonts w:hint="eastAsia" w:ascii="仿宋_GB2312" w:hAnsi="仿宋_GB2312" w:cs="仿宋_GB2312"/>
          <w:color w:val="000000"/>
          <w:sz w:val="30"/>
          <w:szCs w:val="30"/>
        </w:rPr>
        <w:t>“十四五”期间，全市每年粮食播种面积稳定在134.8万亩左右、总产量在47.7万吨左右。</w:t>
      </w:r>
    </w:p>
    <w:p>
      <w:pPr>
        <w:adjustRightInd w:val="0"/>
        <w:snapToGrid w:val="0"/>
        <w:spacing w:line="596" w:lineRule="exact"/>
        <w:ind w:firstLine="602"/>
        <w:rPr>
          <w:rFonts w:hint="eastAsia" w:ascii="黑体" w:hAnsi="黑体" w:eastAsia="黑体" w:cs="黑体"/>
          <w:b w:val="0"/>
          <w:bCs w:val="0"/>
          <w:color w:val="000000"/>
          <w:sz w:val="30"/>
          <w:szCs w:val="30"/>
        </w:rPr>
      </w:pPr>
      <w:r>
        <w:rPr>
          <w:rFonts w:hint="eastAsia" w:ascii="黑体" w:hAnsi="黑体" w:eastAsia="黑体" w:cs="黑体"/>
          <w:b w:val="0"/>
          <w:bCs w:val="0"/>
          <w:color w:val="000000"/>
          <w:sz w:val="30"/>
          <w:szCs w:val="30"/>
          <w:lang w:eastAsia="zh-CN"/>
        </w:rPr>
        <w:t>三、</w:t>
      </w:r>
      <w:r>
        <w:rPr>
          <w:rFonts w:hint="eastAsia" w:ascii="黑体" w:hAnsi="黑体" w:eastAsia="黑体" w:cs="黑体"/>
          <w:b w:val="0"/>
          <w:bCs w:val="0"/>
          <w:color w:val="000000"/>
          <w:sz w:val="30"/>
          <w:szCs w:val="30"/>
        </w:rPr>
        <w:t>产业布局</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按照相对集中、连片发展、上规模、上档次的要求，因地制宜，突出重点，打造“由点及面”的布局效应。规划形成清晰的“稻薯”格局：一是水稻主产区，主要种植单季稻和双季稻。种植区域主要包括古田、屏南、寿宁、周宁、柘荣等县以及蕉城、福安、福鼎、霞浦的大部分乡镇。二是薯业主产区，主要种植甘薯及马铃薯。种植区域主要包括福安、福鼎、霞浦、古田等县。</w:t>
      </w:r>
    </w:p>
    <w:p>
      <w:pPr>
        <w:adjustRightInd w:val="0"/>
        <w:snapToGrid w:val="0"/>
        <w:spacing w:line="596" w:lineRule="exact"/>
        <w:ind w:firstLine="602"/>
        <w:rPr>
          <w:rFonts w:hint="eastAsia" w:ascii="黑体" w:hAnsi="黑体" w:eastAsia="黑体" w:cs="黑体"/>
          <w:color w:val="000000"/>
          <w:sz w:val="30"/>
          <w:szCs w:val="30"/>
        </w:rPr>
      </w:pPr>
      <w:r>
        <w:rPr>
          <w:rFonts w:hint="eastAsia" w:ascii="黑体" w:hAnsi="黑体" w:eastAsia="黑体" w:cs="黑体"/>
          <w:b w:val="0"/>
          <w:bCs w:val="0"/>
          <w:color w:val="000000"/>
          <w:sz w:val="30"/>
          <w:szCs w:val="30"/>
          <w:lang w:eastAsia="zh-CN"/>
        </w:rPr>
        <w:t>四、</w:t>
      </w:r>
      <w:r>
        <w:rPr>
          <w:rFonts w:hint="eastAsia" w:ascii="黑体" w:hAnsi="黑体" w:eastAsia="黑体" w:cs="黑体"/>
          <w:b w:val="0"/>
          <w:bCs w:val="0"/>
          <w:color w:val="000000"/>
          <w:sz w:val="30"/>
          <w:szCs w:val="30"/>
        </w:rPr>
        <w:t>发展措施</w:t>
      </w:r>
    </w:p>
    <w:p>
      <w:pPr>
        <w:adjustRightInd w:val="0"/>
        <w:snapToGrid w:val="0"/>
        <w:spacing w:line="596" w:lineRule="exact"/>
        <w:ind w:firstLine="600"/>
        <w:rPr>
          <w:color w:val="000000"/>
          <w:sz w:val="30"/>
          <w:szCs w:val="30"/>
        </w:rPr>
      </w:pPr>
      <w:r>
        <w:rPr>
          <w:rFonts w:hint="eastAsia" w:ascii="楷体_GB2312" w:hAnsi="楷体_GB2312" w:eastAsia="楷体_GB2312" w:cs="楷体_GB2312"/>
          <w:b/>
          <w:bCs/>
          <w:color w:val="000000"/>
          <w:sz w:val="30"/>
          <w:szCs w:val="30"/>
          <w:lang w:eastAsia="zh-CN"/>
        </w:rPr>
        <w:t>（一）</w:t>
      </w:r>
      <w:r>
        <w:rPr>
          <w:rFonts w:hint="eastAsia" w:ascii="楷体_GB2312" w:hAnsi="楷体_GB2312" w:eastAsia="楷体_GB2312" w:cs="楷体_GB2312"/>
          <w:b/>
          <w:bCs/>
          <w:color w:val="000000"/>
          <w:sz w:val="30"/>
          <w:szCs w:val="30"/>
        </w:rPr>
        <w:t>稳定粮食播种面积。</w:t>
      </w:r>
      <w:r>
        <w:rPr>
          <w:rFonts w:hint="eastAsia"/>
          <w:color w:val="000000"/>
          <w:sz w:val="30"/>
          <w:szCs w:val="30"/>
        </w:rPr>
        <w:t>全面贯彻落实国家关于保障粮食安全的战略部署，把保障粮食安全作为农业现代化的首要任务，大力实施“藏粮于地、藏粮于技”战略，严守耕地红线。全面建立粮食安全责任考核制度，健全粮食生产社会化服务体系，坚决遏制耕地“非农化”和防止耕地“非粮化”，牢牢守住耕地红线，确保粮食播种面积相对稳定。</w:t>
      </w:r>
    </w:p>
    <w:p>
      <w:pPr>
        <w:adjustRightInd w:val="0"/>
        <w:snapToGrid w:val="0"/>
        <w:spacing w:line="596" w:lineRule="exact"/>
        <w:ind w:firstLine="600"/>
        <w:rPr>
          <w:color w:val="000000"/>
          <w:sz w:val="30"/>
          <w:szCs w:val="30"/>
        </w:rPr>
      </w:pPr>
      <w:r>
        <w:rPr>
          <w:rFonts w:hint="eastAsia" w:ascii="楷体_GB2312" w:hAnsi="楷体_GB2312" w:eastAsia="楷体_GB2312" w:cs="楷体_GB2312"/>
          <w:b/>
          <w:bCs/>
          <w:color w:val="000000"/>
          <w:sz w:val="30"/>
          <w:szCs w:val="30"/>
          <w:lang w:eastAsia="zh-CN"/>
        </w:rPr>
        <w:t>（二）</w:t>
      </w:r>
      <w:r>
        <w:rPr>
          <w:rFonts w:hint="eastAsia" w:ascii="楷体_GB2312" w:hAnsi="楷体_GB2312" w:eastAsia="楷体_GB2312" w:cs="楷体_GB2312"/>
          <w:b/>
          <w:bCs/>
          <w:color w:val="000000"/>
          <w:sz w:val="30"/>
          <w:szCs w:val="30"/>
        </w:rPr>
        <w:t>提高粮食单产。</w:t>
      </w:r>
      <w:r>
        <w:rPr>
          <w:rFonts w:hint="eastAsia"/>
          <w:color w:val="000000"/>
          <w:sz w:val="30"/>
          <w:szCs w:val="30"/>
        </w:rPr>
        <w:t>全面推</w:t>
      </w:r>
      <w:r>
        <w:rPr>
          <w:rFonts w:hint="eastAsia" w:ascii="仿宋_GB2312" w:hAnsi="仿宋_GB2312" w:cs="仿宋_GB2312"/>
          <w:color w:val="000000"/>
          <w:sz w:val="30"/>
          <w:szCs w:val="30"/>
        </w:rPr>
        <w:t>进62.4万亩水稻生产功能区建设，重点推广水稻全程机械化生产等一批绿色高产</w:t>
      </w:r>
      <w:r>
        <w:rPr>
          <w:rFonts w:hint="eastAsia"/>
          <w:color w:val="000000"/>
          <w:sz w:val="30"/>
          <w:szCs w:val="30"/>
        </w:rPr>
        <w:t>高效技术，推进良种良法配套，实施粮食产能区增产模式攻关与推广项目，实现农机农艺结合，提高科技增产效益，推动大面积均衡增产。</w:t>
      </w:r>
    </w:p>
    <w:p>
      <w:pPr>
        <w:adjustRightInd w:val="0"/>
        <w:snapToGrid w:val="0"/>
        <w:spacing w:line="596" w:lineRule="exact"/>
        <w:ind w:firstLine="600"/>
        <w:rPr>
          <w:color w:val="000000"/>
          <w:sz w:val="30"/>
          <w:szCs w:val="30"/>
        </w:rPr>
      </w:pPr>
      <w:r>
        <w:rPr>
          <w:rFonts w:hint="eastAsia" w:ascii="楷体_GB2312" w:hAnsi="楷体_GB2312" w:eastAsia="楷体_GB2312" w:cs="楷体_GB2312"/>
          <w:b/>
          <w:bCs/>
          <w:color w:val="000000"/>
          <w:sz w:val="30"/>
          <w:szCs w:val="30"/>
          <w:lang w:eastAsia="zh-CN"/>
        </w:rPr>
        <w:t>（三）</w:t>
      </w:r>
      <w:r>
        <w:rPr>
          <w:rFonts w:hint="eastAsia" w:ascii="楷体_GB2312" w:hAnsi="楷体_GB2312" w:eastAsia="楷体_GB2312" w:cs="楷体_GB2312"/>
          <w:b/>
          <w:bCs/>
          <w:color w:val="000000"/>
          <w:sz w:val="30"/>
          <w:szCs w:val="30"/>
        </w:rPr>
        <w:t>推广种子工程技术。</w:t>
      </w:r>
      <w:r>
        <w:rPr>
          <w:rFonts w:hint="eastAsia"/>
          <w:color w:val="000000"/>
          <w:sz w:val="30"/>
          <w:szCs w:val="30"/>
        </w:rPr>
        <w:t>粮食作物产量提高和品质改良，优质种子要先行。种子工程建设将以农业增效、农民增收为目标，以市场为导向，以加大投入进行粮食作物新品种选育、引进和提高良种覆盖率为重点，扶持种子龙头企业，加大新品种的选育、引进、试验和示范力度，抓好新品种示范基地建设。</w:t>
      </w:r>
    </w:p>
    <w:p>
      <w:pPr>
        <w:adjustRightInd w:val="0"/>
        <w:snapToGrid w:val="0"/>
        <w:spacing w:line="596" w:lineRule="exact"/>
        <w:ind w:firstLine="643" w:firstLineChars="0"/>
        <w:rPr>
          <w:rFonts w:ascii="仿宋_GB2312" w:hAnsi="仿宋_GB2312" w:cs="仿宋_GB2312"/>
          <w:sz w:val="30"/>
          <w:szCs w:val="30"/>
        </w:rPr>
      </w:pPr>
      <w:r>
        <w:rPr>
          <w:rFonts w:hint="eastAsia" w:ascii="楷体_GB2312" w:hAnsi="楷体_GB2312" w:eastAsia="楷体_GB2312" w:cs="楷体_GB2312"/>
          <w:b/>
          <w:bCs/>
          <w:color w:val="000000"/>
          <w:sz w:val="30"/>
          <w:szCs w:val="30"/>
          <w:lang w:val="en-US" w:eastAsia="zh-CN"/>
        </w:rPr>
        <w:t>（四）</w:t>
      </w:r>
      <w:r>
        <w:rPr>
          <w:rFonts w:hint="eastAsia" w:ascii="楷体_GB2312" w:hAnsi="楷体_GB2312" w:eastAsia="楷体_GB2312" w:cs="楷体_GB2312"/>
          <w:b/>
          <w:bCs/>
          <w:color w:val="000000"/>
          <w:sz w:val="30"/>
          <w:szCs w:val="30"/>
        </w:rPr>
        <w:t>加强农田水利设施建设。</w:t>
      </w:r>
      <w:r>
        <w:rPr>
          <w:rFonts w:hint="eastAsia"/>
          <w:color w:val="000000"/>
          <w:sz w:val="30"/>
          <w:szCs w:val="30"/>
        </w:rPr>
        <w:t>统筹推进高标准农田建设，将高标准农田建设与发展多种形式适度规模经营、改造中低产田、推进农业机械化和节水灌溉紧密结合，同步推进。采取以奖代补、先建后补、项目扶持等政策措施，鼓励种植大户、农业合作社、家庭农场、农业企业参与农田建设和管护。鼓励有条件的县（市、区）参照高标准农田建设要求增加投入，按照“缺什么、补什么”原则，统筹开展提升耕地质量建设，优化高标准农田布局，合理安排高标准农田建设项目。</w:t>
      </w:r>
    </w:p>
    <w:p>
      <w:pPr>
        <w:adjustRightInd w:val="0"/>
        <w:snapToGrid w:val="0"/>
        <w:spacing w:line="596" w:lineRule="exact"/>
        <w:ind w:firstLine="643" w:firstLineChars="0"/>
        <w:rPr>
          <w:rFonts w:ascii="仿宋_GB2312" w:hAnsi="仿宋_GB2312" w:cs="仿宋_GB2312"/>
          <w:sz w:val="30"/>
          <w:szCs w:val="30"/>
        </w:rPr>
      </w:pPr>
      <w:r>
        <w:rPr>
          <w:rFonts w:hint="eastAsia" w:ascii="楷体_GB2312" w:hAnsi="楷体_GB2312" w:eastAsia="楷体_GB2312" w:cs="楷体_GB2312"/>
          <w:b/>
          <w:bCs/>
          <w:color w:val="000000"/>
          <w:sz w:val="30"/>
          <w:szCs w:val="30"/>
          <w:lang w:eastAsia="zh-CN"/>
        </w:rPr>
        <w:t>（五）</w:t>
      </w:r>
      <w:r>
        <w:rPr>
          <w:rFonts w:hint="eastAsia" w:ascii="楷体_GB2312" w:hAnsi="楷体_GB2312" w:eastAsia="楷体_GB2312" w:cs="楷体_GB2312"/>
          <w:b/>
          <w:bCs/>
          <w:color w:val="000000"/>
          <w:sz w:val="30"/>
          <w:szCs w:val="30"/>
        </w:rPr>
        <w:t>优化粮食生产机械化服务。</w:t>
      </w:r>
      <w:r>
        <w:rPr>
          <w:rFonts w:hint="eastAsia" w:ascii="仿宋_GB2312" w:hAnsi="仿宋_GB2312" w:cs="仿宋_GB2312"/>
          <w:sz w:val="30"/>
          <w:szCs w:val="30"/>
        </w:rPr>
        <w:t>强化水稻工厂化育秧设施建设与技术指导，做好农机购置补贴及省财政叠加补贴工作，着力补齐水稻生产全程机械化短板。持续提升机插、机收、机烘等社会化服务能力，到2025年有条件的地区基本实现水稻生产全程机械化。</w:t>
      </w:r>
    </w:p>
    <w:p>
      <w:pPr>
        <w:adjustRightInd w:val="0"/>
        <w:snapToGrid w:val="0"/>
        <w:spacing w:line="596" w:lineRule="exact"/>
        <w:ind w:firstLine="643" w:firstLineChars="0"/>
        <w:rPr>
          <w:rFonts w:ascii="仿宋_GB2312" w:hAnsi="仿宋_GB2312" w:cs="仿宋_GB2312"/>
          <w:sz w:val="30"/>
          <w:szCs w:val="30"/>
        </w:rPr>
      </w:pPr>
      <w:r>
        <w:rPr>
          <w:rFonts w:hint="eastAsia" w:ascii="楷体_GB2312" w:hAnsi="楷体_GB2312" w:eastAsia="楷体_GB2312" w:cs="楷体_GB2312"/>
          <w:b/>
          <w:bCs/>
          <w:color w:val="000000"/>
          <w:sz w:val="30"/>
          <w:szCs w:val="30"/>
          <w:lang w:eastAsia="zh-CN"/>
        </w:rPr>
        <w:t>（六）</w:t>
      </w:r>
      <w:r>
        <w:rPr>
          <w:rFonts w:hint="eastAsia" w:ascii="楷体_GB2312" w:hAnsi="楷体_GB2312" w:eastAsia="楷体_GB2312" w:cs="楷体_GB2312"/>
          <w:b/>
          <w:bCs/>
          <w:color w:val="000000"/>
          <w:sz w:val="30"/>
          <w:szCs w:val="30"/>
        </w:rPr>
        <w:t>推动抛荒地复垦种粮。</w:t>
      </w:r>
      <w:r>
        <w:rPr>
          <w:rFonts w:hint="eastAsia" w:ascii="仿宋_GB2312" w:hAnsi="仿宋_GB2312" w:cs="仿宋_GB2312"/>
          <w:sz w:val="30"/>
          <w:szCs w:val="30"/>
        </w:rPr>
        <w:t>坚决制止耕地抛荒，优化耕地地力保护补贴办法，严格落实抛荒耕地不予补贴要求，及时兑付耕地地力保护补贴。对利用抛荒耕地规模种粮的主体，优先安排高标准农田建设，鼓励各县（市、区）对抛荒地复垦种植粮食作物的主体给予奖补。</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Cs w:val="32"/>
        </w:rPr>
      </w:pPr>
      <w:bookmarkStart w:id="434" w:name="_Toc11103"/>
      <w:bookmarkStart w:id="435" w:name="_Toc22330"/>
      <w:bookmarkStart w:id="436" w:name="_Toc12039"/>
      <w:bookmarkStart w:id="437" w:name="_Toc3079"/>
      <w:bookmarkStart w:id="438" w:name="_Toc29149"/>
      <w:bookmarkStart w:id="439" w:name="_Toc32156"/>
      <w:bookmarkStart w:id="440" w:name="_Toc19607"/>
      <w:r>
        <w:rPr>
          <w:rFonts w:hint="eastAsia" w:ascii="楷体_GB2312" w:hAnsi="楷体_GB2312" w:eastAsia="楷体_GB2312" w:cs="楷体_GB2312"/>
          <w:color w:val="000000"/>
          <w:szCs w:val="32"/>
        </w:rPr>
        <w:t>第二节 推进高标准农田建设</w:t>
      </w:r>
      <w:bookmarkEnd w:id="434"/>
      <w:bookmarkEnd w:id="435"/>
      <w:bookmarkEnd w:id="436"/>
      <w:bookmarkEnd w:id="437"/>
      <w:bookmarkEnd w:id="438"/>
      <w:bookmarkEnd w:id="439"/>
      <w:bookmarkEnd w:id="440"/>
    </w:p>
    <w:p>
      <w:pPr>
        <w:adjustRightInd w:val="0"/>
        <w:snapToGrid w:val="0"/>
        <w:spacing w:line="596" w:lineRule="exact"/>
        <w:ind w:firstLine="640"/>
        <w:rPr>
          <w:rFonts w:ascii="楷体_GB2312" w:hAnsi="楷体_GB2312" w:eastAsia="楷体_GB2312" w:cs="楷体_GB2312"/>
          <w:color w:val="000000"/>
          <w:szCs w:val="32"/>
        </w:rPr>
      </w:pPr>
    </w:p>
    <w:p>
      <w:pPr>
        <w:adjustRightInd w:val="0"/>
        <w:snapToGrid w:val="0"/>
        <w:spacing w:line="596" w:lineRule="exact"/>
        <w:ind w:firstLine="600"/>
        <w:rPr>
          <w:rFonts w:ascii="仿宋_GB2312" w:hAnsi="仿宋_GB2312" w:cs="仿宋_GB2312"/>
          <w:color w:val="000000"/>
          <w:sz w:val="30"/>
          <w:szCs w:val="30"/>
        </w:rPr>
      </w:pPr>
      <w:r>
        <w:rPr>
          <w:rFonts w:hint="eastAsia"/>
          <w:color w:val="000000"/>
          <w:sz w:val="30"/>
          <w:szCs w:val="30"/>
        </w:rPr>
        <w:t>以提升粮食产能为首要目标，突出抓好耕地保护和地力提升，加快建设步伐，抓好农田整治工作，避免耕地抛荒，集中力量打造规模连片、旱涝保收、稳产高产、绿色生态的高标准农田，为提升全市粮食生产能力奠定坚实基础。通过建设灌溉与排水设施、平整土地、改良土壤、修建田间道路、完善农田防护与生态环境保持体系、配套农田输配电设施、加强科技服务、强化建后管护等各项工程，促进农田集中连片，增加有效耕地面积，提升耕地质量，优化土地利用结构与布局，实现节约集约利用和规模效益；控制和消除土壤污染源，防止新的土壤污染；对已污染的土壤，要采取一切有效措施，清除土壤中的污染物，改良土壤，防止污染物在土壤中的迁移转化；完善基础设施，改善农业生产条件，增强防灾减灾能力；加强农田生态建设和环境保护，发挥生产、生态、景观的综合功能；建</w:t>
      </w:r>
      <w:r>
        <w:rPr>
          <w:rFonts w:hint="eastAsia" w:ascii="仿宋_GB2312" w:hAnsi="仿宋_GB2312" w:cs="仿宋_GB2312"/>
          <w:color w:val="000000"/>
          <w:sz w:val="30"/>
          <w:szCs w:val="30"/>
        </w:rPr>
        <w:t>立监测、评价和管护体系，实现农田持续高效利用。“十四五”期间，全市建成37万亩高标准农田，改造提升9万亩高标准农田，把高效节水灌溉与高标准农田建设统筹规划、实施，完成4.5万亩新增高效节水灌溉建设任务。</w:t>
      </w:r>
    </w:p>
    <w:p>
      <w:pPr>
        <w:pStyle w:val="21"/>
        <w:adjustRightInd w:val="0"/>
        <w:snapToGrid w:val="0"/>
        <w:spacing w:line="596" w:lineRule="exact"/>
        <w:ind w:firstLine="640"/>
        <w:rPr>
          <w:lang w:val="zh-CN"/>
        </w:rPr>
      </w:pPr>
    </w:p>
    <w:p>
      <w:pPr>
        <w:pStyle w:val="4"/>
        <w:adjustRightInd w:val="0"/>
        <w:snapToGrid w:val="0"/>
        <w:spacing w:line="596" w:lineRule="exact"/>
        <w:rPr>
          <w:rFonts w:ascii="楷体_GB2312" w:hAnsi="楷体_GB2312" w:eastAsia="楷体_GB2312" w:cs="楷体_GB2312"/>
          <w:color w:val="000000"/>
          <w:szCs w:val="32"/>
        </w:rPr>
      </w:pPr>
      <w:bookmarkStart w:id="441" w:name="_Toc24877"/>
      <w:bookmarkStart w:id="442" w:name="_Toc24411"/>
      <w:bookmarkStart w:id="443" w:name="_Toc2031"/>
      <w:bookmarkStart w:id="444" w:name="_Toc17350"/>
      <w:bookmarkStart w:id="445" w:name="_Toc29224"/>
      <w:bookmarkStart w:id="446" w:name="_Toc11092"/>
      <w:bookmarkStart w:id="447" w:name="_Toc17032"/>
      <w:r>
        <w:rPr>
          <w:rFonts w:hint="eastAsia" w:ascii="楷体_GB2312" w:hAnsi="楷体_GB2312" w:eastAsia="楷体_GB2312" w:cs="楷体_GB2312"/>
          <w:color w:val="000000"/>
          <w:szCs w:val="32"/>
        </w:rPr>
        <w:t>第三节 加强农业设施设备应用</w:t>
      </w:r>
      <w:bookmarkEnd w:id="441"/>
      <w:bookmarkEnd w:id="442"/>
      <w:bookmarkEnd w:id="443"/>
      <w:bookmarkEnd w:id="444"/>
      <w:bookmarkEnd w:id="445"/>
      <w:bookmarkEnd w:id="446"/>
      <w:bookmarkEnd w:id="447"/>
    </w:p>
    <w:p>
      <w:pPr>
        <w:adjustRightInd w:val="0"/>
        <w:snapToGrid w:val="0"/>
        <w:spacing w:line="596" w:lineRule="exact"/>
        <w:ind w:firstLine="600"/>
        <w:rPr>
          <w:color w:val="000000"/>
          <w:sz w:val="30"/>
          <w:szCs w:val="30"/>
        </w:rPr>
      </w:pPr>
    </w:p>
    <w:p>
      <w:pPr>
        <w:adjustRightInd w:val="0"/>
        <w:snapToGrid w:val="0"/>
        <w:spacing w:line="596" w:lineRule="exact"/>
        <w:ind w:firstLine="600"/>
        <w:rPr>
          <w:rFonts w:ascii="仿宋_GB2312" w:hAnsi="仿宋_GB2312" w:cs="仿宋_GB2312"/>
          <w:color w:val="000000"/>
          <w:sz w:val="30"/>
          <w:szCs w:val="30"/>
        </w:rPr>
      </w:pPr>
      <w:r>
        <w:rPr>
          <w:rFonts w:hint="eastAsia"/>
          <w:color w:val="000000"/>
          <w:sz w:val="30"/>
          <w:szCs w:val="30"/>
        </w:rPr>
        <w:t>以物质技术装备为手段，着力提升农业生产机械化水平。进一步加大农业机械化推广技术创新与推广投入，资金向农业科技自主创新、农业科技支撑计划、科技成果转化等涉农创新项目重点倾斜，鼓励引导农机、农艺和信息化技术结合。继续扶持设施农业发展，扩大财政补贴力度，合理制定财政倾斜补贴政策，落实农业机械购机补贴，</w:t>
      </w:r>
      <w:r>
        <w:rPr>
          <w:rFonts w:hint="eastAsia" w:ascii="仿宋_GB2312" w:hAnsi="仿宋_GB2312" w:cs="仿宋_GB2312"/>
          <w:color w:val="000000"/>
          <w:sz w:val="30"/>
          <w:szCs w:val="30"/>
        </w:rPr>
        <w:t>拓展补贴范围。完善农机化作业补贴制度、农机报废更新制度、农机政策性保险制度等扶持政策，提高扶持政策累加带动效应。着力提升农业机械化装备水平，夯实全市特色现代农业发展基础。到2025年，全市农作物耕种收综合机械化率达到72%以上。</w:t>
      </w:r>
    </w:p>
    <w:p>
      <w:pPr>
        <w:numPr>
          <w:ilvl w:val="0"/>
          <w:numId w:val="0"/>
        </w:numPr>
        <w:adjustRightInd w:val="0"/>
        <w:snapToGrid w:val="0"/>
        <w:spacing w:line="596" w:lineRule="exact"/>
        <w:ind w:firstLine="640"/>
        <w:rPr>
          <w:sz w:val="30"/>
          <w:szCs w:val="30"/>
        </w:rPr>
      </w:pPr>
    </w:p>
    <w:p>
      <w:pPr>
        <w:adjustRightInd w:val="0"/>
        <w:snapToGrid w:val="0"/>
        <w:spacing w:line="596" w:lineRule="exact"/>
        <w:ind w:firstLine="600"/>
        <w:rPr>
          <w:color w:val="000000"/>
          <w:sz w:val="30"/>
          <w:szCs w:val="30"/>
        </w:rPr>
      </w:pPr>
      <w:r>
        <w:rPr>
          <w:rFonts w:hint="eastAsia"/>
          <w:color w:val="000000"/>
          <w:sz w:val="30"/>
          <w:szCs w:val="30"/>
        </w:rPr>
        <w:br w:type="page"/>
      </w:r>
    </w:p>
    <w:p>
      <w:pPr>
        <w:pStyle w:val="3"/>
        <w:adjustRightInd w:val="0"/>
        <w:snapToGrid w:val="0"/>
        <w:spacing w:before="0" w:after="0" w:line="596" w:lineRule="exact"/>
        <w:rPr>
          <w:b w:val="0"/>
          <w:bCs/>
          <w:color w:val="000000"/>
          <w:sz w:val="32"/>
        </w:rPr>
      </w:pPr>
      <w:bookmarkStart w:id="448" w:name="_Toc26161"/>
      <w:bookmarkStart w:id="449" w:name="_Toc14536"/>
      <w:bookmarkStart w:id="450" w:name="_Toc21150"/>
      <w:bookmarkStart w:id="451" w:name="_Toc1834"/>
      <w:bookmarkStart w:id="452" w:name="_Toc25013"/>
      <w:bookmarkStart w:id="453" w:name="_Toc429"/>
      <w:bookmarkStart w:id="454" w:name="_Toc18122"/>
      <w:r>
        <w:rPr>
          <w:rFonts w:hint="eastAsia"/>
          <w:b w:val="0"/>
          <w:bCs/>
          <w:color w:val="000000"/>
          <w:sz w:val="32"/>
        </w:rPr>
        <w:t xml:space="preserve">第五章 </w:t>
      </w:r>
      <w:bookmarkEnd w:id="394"/>
      <w:bookmarkEnd w:id="395"/>
      <w:bookmarkEnd w:id="396"/>
      <w:bookmarkEnd w:id="397"/>
      <w:bookmarkEnd w:id="398"/>
      <w:bookmarkEnd w:id="423"/>
      <w:bookmarkEnd w:id="424"/>
      <w:bookmarkEnd w:id="425"/>
      <w:r>
        <w:rPr>
          <w:rFonts w:hint="eastAsia"/>
          <w:b w:val="0"/>
          <w:bCs/>
          <w:color w:val="000000"/>
          <w:sz w:val="32"/>
        </w:rPr>
        <w:t>完善特色现代农业产业体系</w:t>
      </w:r>
      <w:bookmarkEnd w:id="426"/>
      <w:bookmarkEnd w:id="448"/>
      <w:bookmarkEnd w:id="449"/>
      <w:bookmarkEnd w:id="450"/>
      <w:bookmarkEnd w:id="451"/>
      <w:bookmarkEnd w:id="452"/>
      <w:bookmarkEnd w:id="453"/>
      <w:bookmarkEnd w:id="454"/>
    </w:p>
    <w:p>
      <w:pPr>
        <w:adjustRightInd w:val="0"/>
        <w:snapToGrid w:val="0"/>
        <w:spacing w:line="596" w:lineRule="exact"/>
        <w:ind w:firstLine="600"/>
        <w:rPr>
          <w:color w:val="000000"/>
          <w:sz w:val="30"/>
          <w:szCs w:val="30"/>
        </w:rPr>
      </w:pPr>
    </w:p>
    <w:p>
      <w:pPr>
        <w:adjustRightInd w:val="0"/>
        <w:snapToGrid w:val="0"/>
        <w:spacing w:line="596" w:lineRule="exact"/>
        <w:ind w:firstLine="600"/>
        <w:rPr>
          <w:rFonts w:ascii="仿宋_GB2312" w:hAnsi="仿宋_GB2312" w:cs="仿宋_GB2312"/>
          <w:color w:val="000000"/>
          <w:sz w:val="30"/>
          <w:szCs w:val="30"/>
        </w:rPr>
      </w:pPr>
      <w:r>
        <w:rPr>
          <w:rFonts w:hint="eastAsia"/>
          <w:color w:val="000000"/>
          <w:sz w:val="30"/>
          <w:szCs w:val="30"/>
        </w:rPr>
        <w:t>围绕农业供给侧结构性改革要求，立足自然资源禀赋和产业发展实际，按照区域化布局、专业化生产的要求，发挥各县（市、区）的自然资源和社会经济条件优势，在巩固提升粮食综合生产能力，筑牢粮食安全基础上，构建以茶叶、渔业、食用菌、水果、蔬菜、中草药材</w:t>
      </w:r>
      <w:r>
        <w:rPr>
          <w:rFonts w:hint="eastAsia" w:ascii="仿宋_GB2312" w:hAnsi="仿宋_GB2312" w:cs="仿宋_GB2312"/>
          <w:color w:val="000000"/>
          <w:sz w:val="30"/>
          <w:szCs w:val="30"/>
        </w:rPr>
        <w:t>、畜牧、林竹花卉等八大特色优势产业为主导，乡村休闲旅游业为补充的“8+1”产业体系，优化产业结构，持续提升品牌影响力，提高特色现代农业综合效益和市场竞争力。</w:t>
      </w:r>
      <w:bookmarkStart w:id="455" w:name="_Toc533860292"/>
      <w:bookmarkStart w:id="456" w:name="_Toc528097269"/>
      <w:bookmarkStart w:id="457" w:name="_Toc3048_WPSOffice_Level2"/>
      <w:bookmarkStart w:id="458" w:name="_Toc528097328"/>
    </w:p>
    <w:p>
      <w:pPr>
        <w:adjustRightInd w:val="0"/>
        <w:snapToGrid w:val="0"/>
        <w:spacing w:line="596" w:lineRule="exact"/>
        <w:ind w:firstLine="600"/>
        <w:rPr>
          <w:rFonts w:ascii="仿宋_GB2312" w:hAnsi="仿宋_GB2312" w:cs="仿宋_GB2312"/>
          <w:color w:val="000000"/>
          <w:sz w:val="30"/>
          <w:szCs w:val="30"/>
        </w:rPr>
      </w:pPr>
    </w:p>
    <w:p>
      <w:pPr>
        <w:pStyle w:val="4"/>
        <w:adjustRightInd w:val="0"/>
        <w:snapToGrid w:val="0"/>
        <w:spacing w:line="596" w:lineRule="exact"/>
        <w:rPr>
          <w:rFonts w:ascii="楷体_GB2312" w:hAnsi="楷体_GB2312" w:eastAsia="楷体_GB2312" w:cs="楷体_GB2312"/>
          <w:color w:val="000000"/>
          <w:szCs w:val="32"/>
        </w:rPr>
      </w:pPr>
      <w:bookmarkStart w:id="459" w:name="_Toc999"/>
      <w:bookmarkStart w:id="460" w:name="_Toc26830"/>
      <w:bookmarkStart w:id="461" w:name="_Toc25656"/>
      <w:bookmarkStart w:id="462" w:name="_Toc2888"/>
      <w:bookmarkStart w:id="463" w:name="_Toc21048"/>
      <w:bookmarkStart w:id="464" w:name="_Toc10705"/>
      <w:bookmarkStart w:id="465" w:name="_Toc605"/>
      <w:bookmarkStart w:id="466" w:name="_Toc24412"/>
      <w:bookmarkStart w:id="467" w:name="_Toc10718"/>
      <w:bookmarkStart w:id="468" w:name="_Toc21129"/>
      <w:bookmarkStart w:id="469" w:name="_Toc14345"/>
      <w:r>
        <w:rPr>
          <w:rFonts w:hint="eastAsia" w:ascii="楷体_GB2312" w:hAnsi="楷体_GB2312" w:eastAsia="楷体_GB2312" w:cs="楷体_GB2312"/>
          <w:color w:val="000000"/>
          <w:szCs w:val="32"/>
        </w:rPr>
        <w:t>第一节 做优做强特色优势产业</w:t>
      </w:r>
      <w:bookmarkEnd w:id="459"/>
      <w:bookmarkEnd w:id="460"/>
      <w:bookmarkEnd w:id="461"/>
      <w:bookmarkEnd w:id="462"/>
      <w:bookmarkEnd w:id="463"/>
      <w:bookmarkEnd w:id="464"/>
      <w:bookmarkEnd w:id="465"/>
      <w:bookmarkEnd w:id="466"/>
      <w:bookmarkEnd w:id="467"/>
      <w:bookmarkEnd w:id="468"/>
      <w:bookmarkEnd w:id="469"/>
    </w:p>
    <w:bookmarkEnd w:id="455"/>
    <w:bookmarkEnd w:id="456"/>
    <w:bookmarkEnd w:id="457"/>
    <w:bookmarkEnd w:id="458"/>
    <w:p>
      <w:pPr>
        <w:adjustRightInd w:val="0"/>
        <w:snapToGrid w:val="0"/>
        <w:spacing w:line="596" w:lineRule="exact"/>
        <w:ind w:firstLine="640"/>
      </w:pPr>
      <w:bookmarkStart w:id="470" w:name="_Toc15715"/>
      <w:bookmarkStart w:id="471" w:name="_Toc13040"/>
      <w:bookmarkStart w:id="472" w:name="_Toc26115"/>
      <w:bookmarkStart w:id="473" w:name="_Toc1769"/>
      <w:bookmarkStart w:id="474" w:name="_Toc28538"/>
      <w:bookmarkStart w:id="475" w:name="_Toc24069"/>
      <w:bookmarkStart w:id="476" w:name="_Toc21134"/>
      <w:bookmarkStart w:id="477" w:name="_Toc29309"/>
      <w:bookmarkStart w:id="478" w:name="_Toc25011"/>
      <w:bookmarkStart w:id="479" w:name="_Toc15016"/>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480" w:name="_Toc10043"/>
      <w:r>
        <w:rPr>
          <w:rFonts w:hint="eastAsia" w:ascii="黑体" w:hAnsi="黑体" w:eastAsia="黑体" w:cs="黑体"/>
          <w:b w:val="0"/>
          <w:bCs/>
          <w:color w:val="000000"/>
          <w:sz w:val="30"/>
          <w:szCs w:val="30"/>
        </w:rPr>
        <w:t>一、茶叶</w:t>
      </w:r>
      <w:bookmarkEnd w:id="470"/>
      <w:bookmarkEnd w:id="471"/>
      <w:bookmarkEnd w:id="472"/>
      <w:bookmarkEnd w:id="473"/>
      <w:bookmarkEnd w:id="474"/>
      <w:bookmarkEnd w:id="475"/>
      <w:bookmarkEnd w:id="476"/>
      <w:bookmarkEnd w:id="480"/>
    </w:p>
    <w:p>
      <w:pPr>
        <w:adjustRightInd w:val="0"/>
        <w:snapToGrid w:val="0"/>
        <w:spacing w:line="596" w:lineRule="exact"/>
        <w:ind w:firstLine="602"/>
        <w:rPr>
          <w:rFonts w:hint="eastAsia" w:ascii="楷体_GB2312" w:hAnsi="楷体_GB2312" w:eastAsia="楷体_GB2312" w:cs="楷体_GB2312"/>
          <w:b/>
          <w:bCs/>
          <w:kern w:val="0"/>
          <w:sz w:val="30"/>
          <w:szCs w:val="30"/>
        </w:rPr>
      </w:pPr>
      <w:r>
        <w:rPr>
          <w:rFonts w:hint="eastAsia" w:ascii="楷体_GB2312" w:hAnsi="楷体_GB2312" w:eastAsia="楷体_GB2312" w:cs="楷体_GB2312"/>
          <w:b/>
          <w:bCs/>
          <w:kern w:val="0"/>
          <w:sz w:val="30"/>
          <w:szCs w:val="30"/>
        </w:rPr>
        <w:t>（一）发展定位</w:t>
      </w:r>
    </w:p>
    <w:p>
      <w:pPr>
        <w:adjustRightInd w:val="0"/>
        <w:snapToGrid w:val="0"/>
        <w:spacing w:line="596" w:lineRule="exact"/>
        <w:ind w:firstLine="600"/>
        <w:rPr>
          <w:rFonts w:ascii="仿宋_GB2312"/>
          <w:kern w:val="0"/>
          <w:sz w:val="30"/>
          <w:szCs w:val="30"/>
        </w:rPr>
      </w:pPr>
      <w:r>
        <w:rPr>
          <w:rFonts w:hint="eastAsia" w:ascii="仿宋_GB2312"/>
          <w:kern w:val="0"/>
          <w:sz w:val="30"/>
          <w:szCs w:val="30"/>
        </w:rPr>
        <w:t>立足品种资源、生态环境、产业基础、产品特色、历史文化等优势，在稳定现有面积的基础上，</w:t>
      </w:r>
      <w:r>
        <w:rPr>
          <w:rFonts w:hint="eastAsia" w:ascii="仿宋_GB2312" w:hAnsi="仿宋_GB2312" w:cs="仿宋_GB2312"/>
          <w:color w:val="000000"/>
          <w:sz w:val="30"/>
          <w:szCs w:val="30"/>
        </w:rPr>
        <w:t>以弘扬茶文化为引领，以做强茶产业为目标，以提升茶科技为支撑，以数字化为突破口，</w:t>
      </w:r>
      <w:r>
        <w:rPr>
          <w:rFonts w:hint="eastAsia" w:ascii="仿宋_GB2312"/>
          <w:kern w:val="0"/>
          <w:sz w:val="30"/>
          <w:szCs w:val="30"/>
        </w:rPr>
        <w:t>统筹做好茶文化、茶产业、茶科技这篇大文章</w:t>
      </w:r>
      <w:r>
        <w:rPr>
          <w:rFonts w:hint="eastAsia" w:ascii="仿宋_GB2312"/>
          <w:kern w:val="0"/>
          <w:sz w:val="30"/>
          <w:szCs w:val="30"/>
          <w:lang w:eastAsia="zh-CN"/>
        </w:rPr>
        <w:t>。</w:t>
      </w:r>
      <w:r>
        <w:rPr>
          <w:rFonts w:hint="eastAsia" w:ascii="仿宋_GB2312"/>
          <w:kern w:val="0"/>
          <w:sz w:val="30"/>
          <w:szCs w:val="30"/>
        </w:rPr>
        <w:t>重点培育红茶、白茶，积极提升绿茶，加快发展乌龙茶，大力实施茶产业集聚壮大战略，加快优质茶叶生产基地、产业特色优势区的建设，实行国内和国际市场双轮驱动，着力</w:t>
      </w:r>
      <w:r>
        <w:rPr>
          <w:rFonts w:hint="eastAsia" w:ascii="仿宋_GB2312" w:hAnsi="仿宋_GB2312" w:cs="仿宋_GB2312"/>
          <w:color w:val="000000"/>
          <w:sz w:val="30"/>
          <w:szCs w:val="30"/>
        </w:rPr>
        <w:t>加强产地管理，保障产品质量，补齐产业短板，提升品牌效应，促进三产融合，</w:t>
      </w:r>
      <w:r>
        <w:rPr>
          <w:rFonts w:hint="eastAsia" w:ascii="仿宋_GB2312"/>
          <w:kern w:val="0"/>
          <w:sz w:val="30"/>
          <w:szCs w:val="30"/>
        </w:rPr>
        <w:t>推进产品创新、业态创新、机制创新，</w:t>
      </w:r>
      <w:r>
        <w:rPr>
          <w:rFonts w:hint="eastAsia" w:ascii="仿宋_GB2312" w:hAnsi="仿宋_GB2312" w:cs="仿宋_GB2312"/>
          <w:color w:val="000000"/>
          <w:sz w:val="30"/>
          <w:szCs w:val="30"/>
        </w:rPr>
        <w:t>构建茶文化、茶产业、茶科技统筹发展、相互促进、共同提升的闽</w:t>
      </w:r>
      <w:r>
        <w:rPr>
          <w:rFonts w:hint="eastAsia" w:ascii="仿宋_GB2312" w:hAnsi="仿宋_GB2312" w:cs="仿宋_GB2312"/>
          <w:color w:val="000000"/>
          <w:sz w:val="30"/>
          <w:szCs w:val="30"/>
          <w:lang w:val="en-US" w:eastAsia="zh-CN"/>
        </w:rPr>
        <w:t>东</w:t>
      </w:r>
      <w:r>
        <w:rPr>
          <w:rFonts w:hint="eastAsia" w:ascii="仿宋_GB2312" w:hAnsi="仿宋_GB2312" w:cs="仿宋_GB2312"/>
          <w:color w:val="000000"/>
          <w:sz w:val="30"/>
          <w:szCs w:val="30"/>
        </w:rPr>
        <w:t>茶</w:t>
      </w:r>
      <w:r>
        <w:rPr>
          <w:rFonts w:hint="eastAsia" w:ascii="仿宋_GB2312" w:hAnsi="仿宋_GB2312" w:cs="仿宋_GB2312"/>
          <w:color w:val="000000"/>
          <w:sz w:val="30"/>
          <w:szCs w:val="30"/>
          <w:lang w:val="en-US" w:eastAsia="zh-CN"/>
        </w:rPr>
        <w:t>产业</w:t>
      </w:r>
      <w:r>
        <w:rPr>
          <w:rFonts w:hint="eastAsia" w:ascii="仿宋_GB2312" w:hAnsi="仿宋_GB2312" w:cs="仿宋_GB2312"/>
          <w:color w:val="000000"/>
          <w:sz w:val="30"/>
          <w:szCs w:val="30"/>
        </w:rPr>
        <w:t>发展新格局</w:t>
      </w:r>
      <w:r>
        <w:rPr>
          <w:rFonts w:hint="eastAsia" w:ascii="仿宋_GB2312" w:hAnsi="仿宋_GB2312" w:cs="仿宋_GB2312"/>
          <w:color w:val="000000"/>
          <w:sz w:val="30"/>
          <w:szCs w:val="30"/>
          <w:lang w:eastAsia="zh-CN"/>
        </w:rPr>
        <w:t>，</w:t>
      </w:r>
      <w:r>
        <w:rPr>
          <w:rFonts w:hint="eastAsia" w:ascii="仿宋_GB2312"/>
          <w:kern w:val="0"/>
          <w:sz w:val="30"/>
          <w:szCs w:val="30"/>
        </w:rPr>
        <w:t>努力把宁德打造成中国最优白茶、特色红茶以及绿茶、乌龙茶等多茶类协调发展，三产融合良好，全产业链高质量发展的现代化生态茶区，探索一条具有闽东特色的茶产业发展之路。</w:t>
      </w:r>
    </w:p>
    <w:p>
      <w:pPr>
        <w:adjustRightInd w:val="0"/>
        <w:snapToGrid w:val="0"/>
        <w:spacing w:line="596" w:lineRule="exact"/>
        <w:ind w:firstLine="602"/>
        <w:rPr>
          <w:rFonts w:hint="eastAsia" w:ascii="楷体_GB2312" w:hAnsi="楷体_GB2312" w:eastAsia="楷体_GB2312" w:cs="楷体_GB2312"/>
          <w:b/>
          <w:bCs/>
          <w:kern w:val="0"/>
          <w:sz w:val="30"/>
          <w:szCs w:val="30"/>
        </w:rPr>
      </w:pPr>
      <w:r>
        <w:rPr>
          <w:rFonts w:hint="eastAsia" w:ascii="楷体_GB2312" w:hAnsi="楷体_GB2312" w:eastAsia="楷体_GB2312" w:cs="楷体_GB2312"/>
          <w:b/>
          <w:bCs/>
          <w:kern w:val="0"/>
          <w:sz w:val="30"/>
          <w:szCs w:val="30"/>
        </w:rPr>
        <w:t>（二）发展目标</w:t>
      </w:r>
    </w:p>
    <w:p>
      <w:pPr>
        <w:adjustRightInd w:val="0"/>
        <w:snapToGrid w:val="0"/>
        <w:spacing w:line="596" w:lineRule="exact"/>
        <w:ind w:firstLine="600"/>
        <w:jc w:val="left"/>
        <w:rPr>
          <w:sz w:val="30"/>
          <w:szCs w:val="30"/>
        </w:rPr>
      </w:pPr>
      <w:r>
        <w:rPr>
          <w:rFonts w:hint="eastAsia" w:ascii="仿宋_GB2312" w:hAnsi="仿宋_GB2312" w:cs="仿宋_GB2312"/>
          <w:color w:val="000000"/>
          <w:sz w:val="30"/>
          <w:szCs w:val="30"/>
        </w:rPr>
        <w:t>“十四五”期间，重点打造一批闽</w:t>
      </w:r>
      <w:r>
        <w:rPr>
          <w:rFonts w:hint="eastAsia" w:ascii="仿宋_GB2312" w:hAnsi="仿宋_GB2312" w:cs="仿宋_GB2312"/>
          <w:color w:val="000000"/>
          <w:sz w:val="30"/>
          <w:szCs w:val="30"/>
          <w:lang w:val="en-US" w:eastAsia="zh-CN"/>
        </w:rPr>
        <w:t>东</w:t>
      </w:r>
      <w:r>
        <w:rPr>
          <w:rFonts w:hint="eastAsia" w:ascii="仿宋_GB2312" w:hAnsi="仿宋_GB2312" w:cs="仿宋_GB2312"/>
          <w:color w:val="000000"/>
          <w:sz w:val="30"/>
          <w:szCs w:val="30"/>
        </w:rPr>
        <w:t>茶文化新亮点，做强一批闽</w:t>
      </w:r>
      <w:r>
        <w:rPr>
          <w:rFonts w:hint="eastAsia" w:ascii="仿宋_GB2312" w:hAnsi="仿宋_GB2312" w:cs="仿宋_GB2312"/>
          <w:color w:val="000000"/>
          <w:sz w:val="30"/>
          <w:szCs w:val="30"/>
          <w:lang w:val="en-US" w:eastAsia="zh-CN"/>
        </w:rPr>
        <w:t>东</w:t>
      </w:r>
      <w:r>
        <w:rPr>
          <w:rFonts w:hint="eastAsia" w:ascii="仿宋_GB2312" w:hAnsi="仿宋_GB2312" w:cs="仿宋_GB2312"/>
          <w:color w:val="000000"/>
          <w:sz w:val="30"/>
          <w:szCs w:val="30"/>
        </w:rPr>
        <w:t>茶产业增长点，培育一批闽</w:t>
      </w:r>
      <w:r>
        <w:rPr>
          <w:rFonts w:hint="eastAsia" w:ascii="仿宋_GB2312" w:hAnsi="仿宋_GB2312" w:cs="仿宋_GB2312"/>
          <w:color w:val="000000"/>
          <w:sz w:val="30"/>
          <w:szCs w:val="30"/>
          <w:lang w:val="en-US" w:eastAsia="zh-CN"/>
        </w:rPr>
        <w:t>东</w:t>
      </w:r>
      <w:r>
        <w:rPr>
          <w:rFonts w:hint="eastAsia" w:ascii="仿宋_GB2312" w:hAnsi="仿宋_GB2312" w:cs="仿宋_GB2312"/>
          <w:color w:val="000000"/>
          <w:sz w:val="30"/>
          <w:szCs w:val="30"/>
        </w:rPr>
        <w:t>茶科技创新点， 到2025年，全市茶园面积稳定在100万亩左右，毛茶产量13万吨左右，毛茶产值53亿元，实现全产业链产值330亿元；茶类和产品结构进一步优化，茶叶精深加工进一步拓展，茶叶三产融合发展进一步深化，努力将“坦洋工夫”“福鼎白茶”“宁德天山茶”“寿宁高山茶”等公用品牌及优势企业品牌打造成为国内外知名品</w:t>
      </w:r>
      <w:r>
        <w:rPr>
          <w:rFonts w:hint="eastAsia" w:ascii="仿宋_GB2312"/>
          <w:kern w:val="0"/>
          <w:sz w:val="30"/>
          <w:szCs w:val="30"/>
        </w:rPr>
        <w:t>牌。</w:t>
      </w:r>
    </w:p>
    <w:p>
      <w:pPr>
        <w:adjustRightInd w:val="0"/>
        <w:snapToGrid w:val="0"/>
        <w:spacing w:line="596" w:lineRule="exact"/>
        <w:ind w:firstLine="602"/>
        <w:rPr>
          <w:rFonts w:hint="eastAsia" w:ascii="楷体_GB2312" w:hAnsi="楷体_GB2312" w:eastAsia="楷体_GB2312" w:cs="楷体_GB2312"/>
          <w:b/>
          <w:bCs/>
          <w:kern w:val="0"/>
          <w:sz w:val="30"/>
          <w:szCs w:val="30"/>
        </w:rPr>
      </w:pPr>
      <w:r>
        <w:rPr>
          <w:rFonts w:hint="eastAsia" w:ascii="楷体_GB2312" w:hAnsi="楷体_GB2312" w:eastAsia="楷体_GB2312" w:cs="楷体_GB2312"/>
          <w:b/>
          <w:bCs/>
          <w:kern w:val="0"/>
          <w:sz w:val="30"/>
          <w:szCs w:val="30"/>
        </w:rPr>
        <w:t>（三）规划布局</w:t>
      </w:r>
    </w:p>
    <w:p>
      <w:pPr>
        <w:adjustRightInd w:val="0"/>
        <w:snapToGrid w:val="0"/>
        <w:spacing w:line="596" w:lineRule="exact"/>
        <w:ind w:firstLine="600"/>
        <w:rPr>
          <w:rFonts w:ascii="仿宋_GB2312"/>
          <w:kern w:val="0"/>
          <w:sz w:val="30"/>
          <w:szCs w:val="30"/>
        </w:rPr>
      </w:pPr>
      <w:r>
        <w:rPr>
          <w:rFonts w:hint="eastAsia" w:ascii="仿宋_GB2312"/>
          <w:kern w:val="0"/>
          <w:sz w:val="30"/>
          <w:szCs w:val="30"/>
        </w:rPr>
        <w:t>在巩固绿茶生产的基础上，大力发展红茶、白茶两大优势茶类，重点培育福鼎白茶、福安坦洋工夫红茶，积极提升高山绿茶和特色乌龙茶，加快发展各地区域品牌和特色产品，努力把宁德打造成以绿茶为基础，白茶、红茶为主导，乌龙茶等为补充的多茶类协调发展的现代化生态茶产区，加快形成“两个集聚中心，七个特色产区”发展格局，即以坦洋工夫为主的红茶产业集聚中心和以福鼎白茶为主的白茶产业集聚中心；逐步提升宁德天山茶、寿宁高山茶、周宁高山云雾茶、霞浦元宵茶、柘荣高山白茶、古田闽北乌龙茶和屏南岩头云雾茶等七个特色产区。</w:t>
      </w:r>
    </w:p>
    <w:p>
      <w:pPr>
        <w:numPr>
          <w:ilvl w:val="0"/>
          <w:numId w:val="0"/>
        </w:numPr>
        <w:adjustRightInd w:val="0"/>
        <w:snapToGrid w:val="0"/>
        <w:spacing w:line="596" w:lineRule="exact"/>
        <w:ind w:left="0" w:leftChars="0" w:firstLine="602" w:firstLineChars="0"/>
        <w:rPr>
          <w:rFonts w:hint="eastAsia" w:ascii="楷体_GB2312" w:hAnsi="楷体_GB2312" w:eastAsia="楷体_GB2312" w:cs="楷体_GB2312"/>
          <w:b/>
          <w:bCs/>
          <w:kern w:val="0"/>
          <w:sz w:val="30"/>
          <w:szCs w:val="30"/>
        </w:rPr>
      </w:pPr>
      <w:r>
        <w:rPr>
          <w:rFonts w:hint="eastAsia" w:ascii="楷体_GB2312" w:hAnsi="楷体_GB2312" w:eastAsia="楷体_GB2312" w:cs="楷体_GB2312"/>
          <w:b/>
          <w:bCs/>
          <w:kern w:val="0"/>
          <w:sz w:val="30"/>
          <w:szCs w:val="30"/>
          <w:lang w:eastAsia="zh-CN"/>
        </w:rPr>
        <w:t>（四）</w:t>
      </w:r>
      <w:r>
        <w:rPr>
          <w:rFonts w:hint="eastAsia" w:ascii="楷体_GB2312" w:hAnsi="楷体_GB2312" w:eastAsia="楷体_GB2312" w:cs="楷体_GB2312"/>
          <w:b/>
          <w:bCs/>
          <w:kern w:val="0"/>
          <w:sz w:val="30"/>
          <w:szCs w:val="30"/>
        </w:rPr>
        <w:t>发展措施</w:t>
      </w:r>
    </w:p>
    <w:p>
      <w:pPr>
        <w:adjustRightInd w:val="0"/>
        <w:snapToGrid w:val="0"/>
        <w:spacing w:line="596" w:lineRule="exact"/>
        <w:ind w:firstLine="600"/>
        <w:rPr>
          <w:rFonts w:ascii="仿宋_GB2312"/>
          <w:kern w:val="0"/>
          <w:sz w:val="30"/>
          <w:szCs w:val="30"/>
        </w:rPr>
      </w:pPr>
      <w:r>
        <w:rPr>
          <w:rFonts w:hint="eastAsia" w:ascii="仿宋_GB2312"/>
          <w:b/>
          <w:bCs/>
          <w:kern w:val="0"/>
          <w:sz w:val="30"/>
          <w:szCs w:val="30"/>
        </w:rPr>
        <w:t>1.夯实产业发展基础。</w:t>
      </w:r>
      <w:r>
        <w:rPr>
          <w:rFonts w:hint="eastAsia" w:ascii="仿宋_GB2312"/>
          <w:kern w:val="0"/>
          <w:sz w:val="30"/>
          <w:szCs w:val="30"/>
        </w:rPr>
        <w:t>完善茶叶产区的区域性发展规划，注重茶叶生产基地建设与生态环境保护相结合，严格按照《福建茶叶绿色发展技术规程》加快推进茶叶绿色发展，力争到2025年基本实现全市茶园绿色防控全覆盖，生态茶园占茶园面积的90%以上。积极争取省级以上重大项目在全市实施，抓好全市白茶、红茶产业集群和茶叶有机肥替代化肥试点县等重大项目建设，加快推进福安市数字农业试点县、坦洋茶谷文旅基地、茶叶出口示范基地、茶树品种改造、茶叶初制加工清洁化改造等项目建设，增强产业发展后劲。</w:t>
      </w:r>
    </w:p>
    <w:p>
      <w:pPr>
        <w:adjustRightInd w:val="0"/>
        <w:snapToGrid w:val="0"/>
        <w:spacing w:line="596" w:lineRule="exact"/>
        <w:ind w:firstLine="600"/>
        <w:rPr>
          <w:rFonts w:ascii="仿宋_GB2312"/>
          <w:kern w:val="0"/>
          <w:sz w:val="30"/>
          <w:szCs w:val="30"/>
        </w:rPr>
      </w:pPr>
      <w:r>
        <w:rPr>
          <w:rFonts w:hint="eastAsia" w:ascii="仿宋_GB2312"/>
          <w:b/>
          <w:bCs/>
          <w:kern w:val="0"/>
          <w:sz w:val="30"/>
          <w:szCs w:val="30"/>
        </w:rPr>
        <w:t>2.增强产业科技支撑。</w:t>
      </w:r>
      <w:r>
        <w:rPr>
          <w:rFonts w:hint="eastAsia" w:ascii="仿宋_GB2312"/>
          <w:kern w:val="0"/>
          <w:sz w:val="30"/>
          <w:szCs w:val="30"/>
        </w:rPr>
        <w:t>大力加强农村专业人才队伍建设，通过每年举行斗茶赛、茶叶加工技能培训,扶持培养一批种植能手、制茶能手、非遗传承人等，全市每年培训3000人次以上，不断提高从业者的整体素质。鼓励支持科研院校与茶叶企业合作建立茶叶研究中心、院士工作站、专家工作站，开展茶叶精深加工产品开发、关键工艺技术、基础性研究等重大项目攻关，加快推进科技成果转化应用，加大高效生态茶园建设、测土配方施肥、绿色防控、茶叶生产加工全程机械化、产品仓储、新产品研发、物联网应用等产业综合配套技术的推广力度。尤其在提高茶园机械化管理和自动化连续化加工方面加大推动力，以解决“采茶难”“用工贵”问题，实现节本增效。充分发挥科技人才支撑作用，创新人才使用机制，发挥好茶叶科技人员的助推作用。</w:t>
      </w:r>
    </w:p>
    <w:p>
      <w:pPr>
        <w:adjustRightInd w:val="0"/>
        <w:snapToGrid w:val="0"/>
        <w:spacing w:line="596" w:lineRule="exact"/>
        <w:ind w:firstLine="600"/>
        <w:rPr>
          <w:rFonts w:ascii="仿宋_GB2312"/>
          <w:kern w:val="0"/>
          <w:sz w:val="30"/>
          <w:szCs w:val="30"/>
        </w:rPr>
      </w:pPr>
      <w:r>
        <w:rPr>
          <w:rFonts w:hint="eastAsia" w:ascii="仿宋_GB2312"/>
          <w:b/>
          <w:bCs/>
          <w:kern w:val="0"/>
          <w:sz w:val="30"/>
          <w:szCs w:val="30"/>
        </w:rPr>
        <w:t>3.加强质量安全创建。</w:t>
      </w:r>
      <w:r>
        <w:rPr>
          <w:rFonts w:hint="eastAsia" w:ascii="仿宋_GB2312"/>
          <w:kern w:val="0"/>
          <w:sz w:val="30"/>
          <w:szCs w:val="30"/>
        </w:rPr>
        <w:t>健全完善农资监管平台，推行茶园农资投入品登记备案和实名购买制度，建立可追溯机制。全面推广福鼎建立福鼎白茶大数据平台的经验做法，利用大数据平台的监管功能，推行茶青凭证交易和“一品一码、赋码销售”制度。加大茶叶标准的宣传和执行落实力度，提高全社会的质量安全意识，推广、普及标准化生产技术，到2025年，力争实现全市茶园90%以上按标生产。鼓励企业积极申报绿色食品、有机茶和开展ISO、HACCP等相关质量管理体系认证，增强市场竞争优势。严格落实《福建省食品安全信息追溯管理办法》，加快推进合格证制度和“一品一码”追溯管理工作，力争将辖区内所有取得食品生产许可证的茶叶生产主体全部纳入监管平台，实现“生产主体一张图、产品流向一条线、产地准出一个码”的要求，保障茶叶质量安全。</w:t>
      </w:r>
    </w:p>
    <w:p>
      <w:pPr>
        <w:adjustRightInd w:val="0"/>
        <w:snapToGrid w:val="0"/>
        <w:spacing w:line="596" w:lineRule="exact"/>
        <w:ind w:firstLine="600"/>
        <w:rPr>
          <w:rFonts w:ascii="仿宋_GB2312"/>
          <w:kern w:val="0"/>
          <w:sz w:val="30"/>
          <w:szCs w:val="30"/>
        </w:rPr>
      </w:pPr>
      <w:r>
        <w:rPr>
          <w:rFonts w:hint="eastAsia" w:ascii="仿宋_GB2312"/>
          <w:b/>
          <w:bCs/>
          <w:kern w:val="0"/>
          <w:sz w:val="30"/>
          <w:szCs w:val="30"/>
        </w:rPr>
        <w:t>4.着力提升茶叶品牌。</w:t>
      </w:r>
      <w:r>
        <w:rPr>
          <w:rFonts w:hint="eastAsia" w:ascii="仿宋_GB2312"/>
          <w:kern w:val="0"/>
          <w:sz w:val="30"/>
          <w:szCs w:val="30"/>
        </w:rPr>
        <w:t>加强品牌原产地保护，规范地理标志证明商标的使用和管理，加大公用品牌宣传推介的政府推动力，主动将宁德茶叶区域公用品牌融入宁德全市大品牌——“0593宁德号”区域公用品牌平台进行打造，借助全市优势资源扩大茶叶品牌影响力。提升福安富春茶城、福鼎中国白茶中心、寿宁南阳茶城建设水平，积极参与“闽茶海丝行”和“一带一路”境外大型博览会等茶叶经贸活动，坚持线上线下并重，完善宁德茶叶展示销售平台，提升茶叶电子商务发展水平，支持各地茶叶经销商构建闽东茶叶营销联盟，抱团开拓市场。持续开展以“喝好茶到闽东”为主题的宣传、推广和各地形式多样的原产地茶事活动，进一步提升区域品牌的知名度和美誉度。以“福鼎白茶”为引领，打造中国白茶产业地标，积极申报宁德市“中国白茶之都”称号，加快创建“宁德白茶”公用品牌，形成“宁德白茶”“福鼎白茶”等品牌梯队；扶持发展一批品牌企业和名牌农产品，构建“区域公用品牌+企业品牌”的品牌推广体系，培育具有全国较强影响力的闽东茶叶优势品牌，以品牌带动产业的健康发展。</w:t>
      </w:r>
    </w:p>
    <w:p>
      <w:pPr>
        <w:adjustRightInd w:val="0"/>
        <w:snapToGrid w:val="0"/>
        <w:spacing w:line="596" w:lineRule="exact"/>
        <w:ind w:firstLine="600"/>
        <w:rPr>
          <w:rFonts w:ascii="仿宋_GB2312"/>
          <w:kern w:val="0"/>
          <w:sz w:val="30"/>
          <w:szCs w:val="30"/>
        </w:rPr>
      </w:pPr>
      <w:r>
        <w:rPr>
          <w:rFonts w:hint="eastAsia" w:ascii="仿宋_GB2312"/>
          <w:b/>
          <w:bCs/>
          <w:kern w:val="0"/>
          <w:sz w:val="30"/>
          <w:szCs w:val="30"/>
        </w:rPr>
        <w:t>5.培育壮大产业主体。</w:t>
      </w:r>
      <w:r>
        <w:rPr>
          <w:rFonts w:hint="eastAsia" w:ascii="仿宋_GB2312"/>
          <w:kern w:val="0"/>
          <w:sz w:val="30"/>
          <w:szCs w:val="30"/>
        </w:rPr>
        <w:t>按照“特色化、规模化、产业化、品牌化”的要求，选择一批省级以上现有基础条件好、市场潜力大的龙头企业，以培育茶业集团公司和龙头企业为重点，整合资源集中配置，支持龙头企业采取合资合作、兼并重组、股份制等方式提高产业集中度、延伸产业链，不断做强做大，发挥示范带动作用，到2025年，力争培育年销售收入超5亿元的茶叶龙头企业3—5家，新增国家级龙头企业1—2家。大力培育专业合作社、家庭农场等新型农业经营主体，建立起与茶农之间的紧密型合作关系，稳妥地把保护茶农利益机制融进现代茶业发展的共赢链条中，大力提高农民生产经营的组织化、规模化程度,联结起以龙头企业带动、政府政策扶持、社会服务组织助力的发展共同体,营造共创共赢的良好发展局面。到2025年，宁德市级以上农业产业化龙头企业220家以上，新培育市级以上茶叶专业合作示范社30个以上，家庭农场10个。</w:t>
      </w:r>
    </w:p>
    <w:p>
      <w:pPr>
        <w:adjustRightInd w:val="0"/>
        <w:snapToGrid w:val="0"/>
        <w:spacing w:line="596" w:lineRule="exact"/>
        <w:ind w:firstLine="600"/>
        <w:jc w:val="left"/>
        <w:rPr>
          <w:sz w:val="30"/>
          <w:szCs w:val="30"/>
        </w:rPr>
      </w:pPr>
      <w:r>
        <w:rPr>
          <w:rFonts w:hint="eastAsia" w:ascii="仿宋_GB2312"/>
          <w:b/>
          <w:bCs/>
          <w:kern w:val="0"/>
          <w:sz w:val="30"/>
          <w:szCs w:val="30"/>
        </w:rPr>
        <w:t>6.促进三产融合发展。</w:t>
      </w:r>
      <w:r>
        <w:rPr>
          <w:rFonts w:hint="eastAsia" w:ascii="仿宋_GB2312"/>
          <w:kern w:val="0"/>
          <w:sz w:val="30"/>
          <w:szCs w:val="30"/>
        </w:rPr>
        <w:t>结合各地举办的斗茶赛、开茶节、旅游节等重大宣传展示活动，充分展示闽东茶文化丰富深厚的底蕴，提升茶产业文化内涵。依托宁德生态环境清新、茶园面积广阔、产业特色明显的优势，将茶叶产业功能从生产功能为主向生产、生活、生态、文化多功能转变，创建一批有规模、上档次、具特色茶庄园和茶旅文化观光园和茶叶特色小镇，重点做好福鼎市点头白茶特色小镇和福安市坦洋茶谷文旅基地建设，促进茶产业、文化产业与旅游业融合发展。到2025年，力争建成上规模、上档次的现代茶庄园、茶旅文化观光园15家以上，创建茶叶特色小镇3个以上。充分发挥宁德茶叶资源丰富的优势，做精现有特色茶品类,形成“名优茶、大众茶、原料茶”全方位、立体化综合发展格局；立足茶叶,又跳出茶叶做强茶叶全价利用文章,积极发展茶饮料、茶食品、茶保健品和茶食品添加剂、茶日化用品、医药用品等精深加工产品研发和开发，延伸产业链。</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481" w:name="_Toc15411"/>
      <w:bookmarkStart w:id="482" w:name="_Toc1323"/>
      <w:bookmarkStart w:id="483" w:name="_Toc28553"/>
      <w:bookmarkStart w:id="484" w:name="_Toc24570"/>
      <w:bookmarkStart w:id="485" w:name="_Toc21519"/>
      <w:bookmarkStart w:id="486" w:name="_Toc24414"/>
      <w:bookmarkStart w:id="487" w:name="_Toc28521"/>
      <w:bookmarkStart w:id="488" w:name="_Toc806"/>
      <w:r>
        <w:rPr>
          <w:rFonts w:hint="eastAsia" w:ascii="黑体" w:hAnsi="黑体" w:eastAsia="黑体" w:cs="黑体"/>
          <w:b w:val="0"/>
          <w:bCs/>
          <w:color w:val="000000"/>
          <w:sz w:val="30"/>
          <w:szCs w:val="30"/>
        </w:rPr>
        <w:t>二、渔业</w:t>
      </w:r>
      <w:bookmarkEnd w:id="481"/>
      <w:bookmarkEnd w:id="482"/>
      <w:bookmarkEnd w:id="483"/>
      <w:bookmarkEnd w:id="484"/>
      <w:bookmarkEnd w:id="485"/>
      <w:bookmarkEnd w:id="486"/>
      <w:bookmarkEnd w:id="487"/>
      <w:bookmarkEnd w:id="488"/>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（一）发展定位</w:t>
      </w:r>
    </w:p>
    <w:p>
      <w:pPr>
        <w:adjustRightInd w:val="0"/>
        <w:snapToGrid w:val="0"/>
        <w:spacing w:line="596" w:lineRule="exact"/>
        <w:ind w:firstLine="600"/>
        <w:rPr>
          <w:color w:val="000000"/>
          <w:sz w:val="30"/>
          <w:szCs w:val="30"/>
        </w:rPr>
      </w:pPr>
      <w:r>
        <w:rPr>
          <w:rFonts w:hint="eastAsia"/>
          <w:color w:val="000000"/>
          <w:sz w:val="30"/>
          <w:szCs w:val="30"/>
        </w:rPr>
        <w:t>大力推进传统渔业转型，建立标准化、规范化养殖生产基地，培育湾外深海养殖和远洋渔业，延伸精深加工产业链，力争把宁德建设成为全国重要的现代渔业示范基地。</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（二）发展目标</w:t>
      </w:r>
    </w:p>
    <w:p>
      <w:pPr>
        <w:adjustRightInd w:val="0"/>
        <w:snapToGrid w:val="0"/>
        <w:spacing w:line="596" w:lineRule="exact"/>
        <w:ind w:firstLine="600"/>
        <w:rPr>
          <w:rFonts w:ascii="仿宋_GB2312" w:hAnsi="仿宋_GB2312" w:cs="仿宋_GB2312"/>
          <w:sz w:val="30"/>
          <w:szCs w:val="30"/>
        </w:rPr>
      </w:pPr>
      <w:r>
        <w:rPr>
          <w:rFonts w:hint="eastAsia" w:ascii="仿宋_GB2312" w:hAnsi="仿宋_GB2312" w:cs="仿宋_GB2312"/>
          <w:color w:val="000000"/>
          <w:sz w:val="30"/>
          <w:szCs w:val="30"/>
        </w:rPr>
        <w:t>“十四五”期间，力争实现渔业全产业链增值全面提高，稳定一产，强化二产，扩展三产。到2025年，全市渔业全产业链产值达8</w:t>
      </w:r>
      <w:r>
        <w:rPr>
          <w:rFonts w:hint="eastAsia" w:ascii="仿宋_GB2312" w:hAnsi="仿宋_GB2312" w:cs="仿宋_GB2312"/>
          <w:color w:val="000000"/>
          <w:sz w:val="30"/>
          <w:szCs w:val="30"/>
          <w:lang w:val="en-US" w:eastAsia="zh-CN"/>
        </w:rPr>
        <w:t>09</w:t>
      </w:r>
      <w:r>
        <w:rPr>
          <w:rFonts w:hint="eastAsia" w:ascii="仿宋_GB2312" w:hAnsi="仿宋_GB2312" w:cs="仿宋_GB2312"/>
          <w:color w:val="000000"/>
          <w:sz w:val="30"/>
          <w:szCs w:val="30"/>
        </w:rPr>
        <w:t>亿元，年均增长10.4</w:t>
      </w:r>
      <w:r>
        <w:rPr>
          <w:rFonts w:hint="eastAsia" w:ascii="仿宋_GB2312" w:hAnsi="仿宋_GB2312" w:cs="仿宋_GB2312"/>
          <w:color w:val="000000"/>
          <w:sz w:val="30"/>
          <w:szCs w:val="30"/>
          <w:lang w:val="en-US" w:eastAsia="zh-CN"/>
        </w:rPr>
        <w:t>0</w:t>
      </w:r>
      <w:r>
        <w:rPr>
          <w:rFonts w:hint="eastAsia" w:ascii="仿宋_GB2312" w:hAnsi="仿宋_GB2312" w:cs="仿宋_GB2312"/>
          <w:color w:val="000000"/>
          <w:sz w:val="30"/>
          <w:szCs w:val="30"/>
        </w:rPr>
        <w:t>%，比2020年增加31</w:t>
      </w:r>
      <w:r>
        <w:rPr>
          <w:rFonts w:hint="eastAsia" w:ascii="仿宋_GB2312" w:hAnsi="仿宋_GB2312" w:cs="仿宋_GB2312"/>
          <w:color w:val="000000"/>
          <w:sz w:val="30"/>
          <w:szCs w:val="30"/>
          <w:lang w:val="en-US" w:eastAsia="zh-CN"/>
        </w:rPr>
        <w:t>5</w:t>
      </w:r>
      <w:r>
        <w:rPr>
          <w:rFonts w:hint="eastAsia" w:ascii="仿宋_GB2312" w:hAnsi="仿宋_GB2312" w:cs="仿宋_GB2312"/>
          <w:color w:val="000000"/>
          <w:sz w:val="30"/>
          <w:szCs w:val="30"/>
        </w:rPr>
        <w:t>.62亿元。渔业三次产业结构逐步优化，产业布局更加合理，构成具有区域特色和竞争力的产业集群和海洋经济聚集区。</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（三）规划布局</w:t>
      </w:r>
    </w:p>
    <w:p>
      <w:pPr>
        <w:adjustRightInd w:val="0"/>
        <w:snapToGrid w:val="0"/>
        <w:spacing w:line="596" w:lineRule="exact"/>
        <w:ind w:firstLine="600"/>
        <w:rPr>
          <w:color w:val="000000"/>
          <w:sz w:val="30"/>
          <w:szCs w:val="30"/>
        </w:rPr>
      </w:pPr>
      <w:r>
        <w:rPr>
          <w:rFonts w:hint="eastAsia"/>
          <w:color w:val="000000"/>
          <w:sz w:val="30"/>
          <w:szCs w:val="30"/>
        </w:rPr>
        <w:t>完善国土空间总体规划中的海域功能分区，科学规划和规范养殖区的发展、合理规划和布局近海养殖区、养殖品种和密度、深化海洋渔业结构调整，努力提升水产养殖业，拓宽海产品加工的广度和深度。规划形成“一带一区”的现代渔业总体布局。“一带”：即沿海</w:t>
      </w:r>
      <w:r>
        <w:rPr>
          <w:rFonts w:hint="eastAsia" w:ascii="仿宋_GB2312" w:hAnsi="仿宋_GB2312" w:cs="仿宋_GB2312"/>
          <w:color w:val="000000"/>
          <w:sz w:val="30"/>
          <w:szCs w:val="30"/>
        </w:rPr>
        <w:t>海洋渔业产业带，包括福鼎、霞浦、福安和蕉城。“一区”：即内陆山区淡水渔业产业区，布局于全市9个县（市、区），依据各地资源优势，优化格局，提升淡水渔业产业规模。推动霞浦台湾水产品集散中心园区、蕉城区三都澳大黄鱼产业园区建设，鼓励在蕉城、霞浦、福鼎规划建设大黄鱼、海带、紫菜、鲍鱼、海参等水产品专业批发交易市场和一批冷链物流企业。充分发挥宁德“中国</w:t>
      </w:r>
      <w:r>
        <w:rPr>
          <w:rFonts w:hint="eastAsia"/>
          <w:color w:val="000000"/>
          <w:sz w:val="30"/>
          <w:szCs w:val="30"/>
        </w:rPr>
        <w:t>大黄鱼之乡”、福鼎“中国鲈鱼之乡”和霞浦“中国海带之乡”、“中国紫菜之乡”等区域公用品牌的作用；积极举办大黄鱼、海藻等特色水产品的节庆活动，加大宣传展销力度，力争有更多的精品水产品走向国内外市场。</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（四）发展措施</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1.推进渔业良种化。</w:t>
      </w:r>
      <w:r>
        <w:rPr>
          <w:rFonts w:hint="eastAsia" w:ascii="仿宋_GB2312" w:hAnsi="仿宋_GB2312" w:cs="仿宋_GB2312"/>
          <w:color w:val="000000"/>
          <w:sz w:val="30"/>
          <w:szCs w:val="30"/>
        </w:rPr>
        <w:t>加快生物育种技术运用，建设国家级大黄鱼遗传育种中心，提升大黄鱼育种国家重点实验室科技创新能力，培育2家以上渔业种业龙头企业。新建或扩建大黄鱼、鲈鱼、坛紫菜、海带等4个以上水产养殖产业核心品种种质资源库，培育5家国家、省、市级原良种场，建设5家以上良种扩繁示范基地，建立2个健康优质苗种繁育示范区，进一步</w:t>
      </w:r>
      <w:r>
        <w:rPr>
          <w:rFonts w:hint="eastAsia"/>
          <w:color w:val="000000"/>
          <w:sz w:val="30"/>
          <w:szCs w:val="30"/>
        </w:rPr>
        <w:t>巩固大黄鱼、坛紫菜等特色优势种业全国领先地位。</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2.推动传统渔业转型升级。</w:t>
      </w:r>
      <w:r>
        <w:rPr>
          <w:rFonts w:hint="eastAsia" w:ascii="仿宋_GB2312" w:hAnsi="仿宋_GB2312" w:cs="仿宋_GB2312"/>
          <w:color w:val="000000"/>
          <w:sz w:val="30"/>
          <w:szCs w:val="30"/>
        </w:rPr>
        <w:t>按照“一品一产业”的思路，稳定发展大黄鱼、海参、海带、紫菜、鲍鱼等区域特色优势养殖品种，提高养殖产品品质。开展配合饲料替代（冻）鲜饵料工作，提升海水养殖技术水平。大力推广深</w:t>
      </w:r>
      <w:r>
        <w:rPr>
          <w:rFonts w:hint="eastAsia"/>
          <w:color w:val="000000"/>
          <w:sz w:val="30"/>
          <w:szCs w:val="30"/>
        </w:rPr>
        <w:t>水大网箱、塑胶网箱、工厂化循环水、对虾高位池等设施渔业。逐步压减宁德近海捕捞业生产能力，发展钓业等生态捕捞方式。</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3.培育湾外深海养殖和远洋渔业。</w:t>
      </w:r>
      <w:r>
        <w:rPr>
          <w:rFonts w:hint="eastAsia" w:ascii="仿宋_GB2312" w:hAnsi="仿宋_GB2312" w:cs="仿宋_GB2312"/>
          <w:color w:val="000000"/>
          <w:sz w:val="30"/>
          <w:szCs w:val="30"/>
        </w:rPr>
        <w:t>拓展湾外深海养殖，通过人工培育和增养殖在湾外形成具有地方特色的鱼、虾、蟹、参、贝、藻等新产业，积极开发台山列岛、浮鹰岛、嵛山岛、四礵列岛、七星岛等湾外深远海海域，加快推进深远海智能养殖综合平台项目建设，至2025年，力争全市建成2个深远海养殖设施。制定扶持远洋渔业的优惠政策，鼓励远洋渔业企业整合或更新改造长度在24米以上近海捕捞渔船，积极申报农业农村部远洋渔业项目，开展过洋性渔业或大洋性渔业生产，提升全市远洋渔业经济规模。</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4.大力延伸水产品产业链。</w:t>
      </w:r>
      <w:r>
        <w:rPr>
          <w:rFonts w:hint="eastAsia" w:ascii="仿宋_GB2312" w:hAnsi="仿宋_GB2312" w:cs="仿宋_GB2312"/>
          <w:color w:val="000000"/>
          <w:sz w:val="30"/>
          <w:szCs w:val="30"/>
        </w:rPr>
        <w:t>支持水产加工企业进行技术改造，鼓励发展精细化加工，促进加工保鲜和副产物综合利用，延伸水产品加工产业链，促进水产品加工率达到全省平均水平。鼓励应用现代生物工程技术，开展绿色</w:t>
      </w:r>
      <w:r>
        <w:rPr>
          <w:rFonts w:hint="eastAsia"/>
          <w:color w:val="000000"/>
          <w:sz w:val="30"/>
          <w:szCs w:val="30"/>
        </w:rPr>
        <w:t>、安全、高效的新型海洋生物功能制品研制</w:t>
      </w:r>
      <w:r>
        <w:rPr>
          <w:rFonts w:hint="eastAsia" w:ascii="仿宋_GB2312" w:hAnsi="仿宋_GB2312" w:cs="仿宋_GB2312"/>
          <w:color w:val="000000"/>
          <w:sz w:val="30"/>
          <w:szCs w:val="30"/>
        </w:rPr>
        <w:t>及产业化，研发海洋生物医药和功能食品、海洋生物制品、海洋工业原料和生物材料。培育发展渔业特色品牌，重点培育壮大宁德大黄鱼、福鼎坛紫菜、霞浦海带、霞浦紫菜、霞浦海参等国内知名区域公共品牌。至2025年，年水产品加工量达55.2万吨，加工产值达225亿元。大力发展休闲渔业，以渔港、渔村、海岛、养殖设施、海洋牧场等为基础，全市建成10个休闲渔业基地。</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5.完善水产服务配套体系。</w:t>
      </w:r>
      <w:r>
        <w:rPr>
          <w:rFonts w:hint="eastAsia" w:ascii="仿宋_GB2312" w:hAnsi="仿宋_GB2312" w:cs="仿宋_GB2312"/>
          <w:color w:val="000000"/>
          <w:sz w:val="30"/>
          <w:szCs w:val="30"/>
        </w:rPr>
        <w:t>规划建设大黄鱼、海带、紫菜、鲍鱼、海参等水产品大型专业批发交易市场，建成立足宁德、辐射全省水产品专业批发交易中心，重点加快推进霞浦（台湾）水产品集散中心、蕉城三都澳大黄鱼产业园区以及一批渔业综合体建设。大力发展渔港经济，重点培育福鼎、三沙湾、三都澳东冲半岛3个渔港经济区，进一步拓展渔港贸易、加工、物流等功能。加快宁德数字渔业工程建设，利用移动互联网、物联网、大数据等现代信息技术，提升全市渔业数字化、智能化水平。</w:t>
      </w:r>
    </w:p>
    <w:p>
      <w:pPr>
        <w:adjustRightInd w:val="0"/>
        <w:snapToGrid w:val="0"/>
        <w:spacing w:line="596" w:lineRule="exact"/>
        <w:ind w:firstLine="600"/>
        <w:rPr>
          <w:sz w:val="30"/>
          <w:szCs w:val="30"/>
        </w:rPr>
      </w:pPr>
      <w:r>
        <w:rPr>
          <w:rFonts w:hint="eastAsia" w:ascii="仿宋_GB2312" w:hAnsi="仿宋_GB2312" w:cs="仿宋_GB2312"/>
          <w:b/>
          <w:bCs/>
          <w:color w:val="000000"/>
          <w:sz w:val="30"/>
          <w:szCs w:val="30"/>
        </w:rPr>
        <w:t>6.积极推动渔旅融合发展。</w:t>
      </w:r>
      <w:r>
        <w:rPr>
          <w:rFonts w:hint="eastAsia" w:ascii="仿宋_GB2312" w:hAnsi="仿宋_GB2312" w:cs="仿宋_GB2312"/>
          <w:color w:val="000000"/>
          <w:sz w:val="30"/>
          <w:szCs w:val="30"/>
        </w:rPr>
        <w:t>做好“渔旅融合”文章，发挥我市海上养殖设施升级改造后形成的良好硬件设施，大力推广“海上田园”综合体等模式，打造集生态型现代网箱养殖示范、渔耕体验、休闲渔业旅游、海洋运动等方式于一体的环境友好型休闲旅游综合体，力争“十四五”期间全市打造8-10个“海上田园”综合体</w:t>
      </w:r>
      <w:r>
        <w:rPr>
          <w:rFonts w:hint="eastAsia"/>
          <w:sz w:val="30"/>
          <w:szCs w:val="30"/>
        </w:rPr>
        <w:t>。推进现代信息技术应用于休闲渔业服务，鼓励社会资本投入，打造为休闲渔业从业者和消费者提供全方位信息服务的互联网平台，加快构建网络营销、预订等公共服务平台，增强线上线下联动营销能力。将休闲渔业与海洋牧场建设、无居民海岛旅游开发、滨海沙滩休闲、海洋公园建设等相结合，着力打造休闲垂钓、 滨海港湾、海岛旅游、观光体验、观赏渔业等多元化的休闲渔业产业链。 深入挖掘渔业文化内涵，着力突出宁德乡土特色和文化特点，丰富涉渔文化活动举办，发展特色渔文化旅游，促进休闲渔业与文化、旅游、摄影等产业融合发展。</w:t>
      </w:r>
    </w:p>
    <w:bookmarkEnd w:id="477"/>
    <w:bookmarkEnd w:id="478"/>
    <w:bookmarkEnd w:id="479"/>
    <w:p>
      <w:pPr>
        <w:pStyle w:val="5"/>
        <w:adjustRightInd w:val="0"/>
        <w:snapToGrid w:val="0"/>
        <w:spacing w:line="596" w:lineRule="exact"/>
        <w:ind w:firstLine="602"/>
        <w:rPr>
          <w:rFonts w:hint="eastAsia" w:ascii="黑体" w:hAnsi="黑体" w:eastAsia="黑体" w:cs="黑体"/>
          <w:b w:val="0"/>
          <w:bCs/>
          <w:color w:val="000000"/>
          <w:sz w:val="30"/>
          <w:szCs w:val="30"/>
        </w:rPr>
      </w:pPr>
      <w:bookmarkStart w:id="489" w:name="_Toc380"/>
      <w:bookmarkStart w:id="490" w:name="_Toc51"/>
      <w:bookmarkStart w:id="491" w:name="_Toc3795"/>
      <w:bookmarkStart w:id="492" w:name="_Toc18379"/>
      <w:bookmarkStart w:id="493" w:name="_Toc6142"/>
      <w:bookmarkStart w:id="494" w:name="_Toc20901"/>
      <w:bookmarkStart w:id="495" w:name="_Toc7280"/>
      <w:bookmarkStart w:id="496" w:name="_Toc17705"/>
      <w:bookmarkStart w:id="497" w:name="_Toc31055"/>
      <w:bookmarkStart w:id="498" w:name="_Toc7250"/>
      <w:bookmarkStart w:id="499" w:name="_Toc11756"/>
      <w:r>
        <w:rPr>
          <w:rFonts w:hint="eastAsia" w:ascii="黑体" w:hAnsi="黑体" w:eastAsia="黑体" w:cs="黑体"/>
          <w:b w:val="0"/>
          <w:bCs/>
          <w:color w:val="000000"/>
          <w:sz w:val="30"/>
          <w:szCs w:val="30"/>
        </w:rPr>
        <w:t>三、食用菌</w:t>
      </w:r>
      <w:bookmarkEnd w:id="489"/>
      <w:bookmarkEnd w:id="490"/>
      <w:bookmarkEnd w:id="491"/>
      <w:bookmarkEnd w:id="492"/>
      <w:bookmarkEnd w:id="493"/>
      <w:bookmarkEnd w:id="494"/>
      <w:bookmarkEnd w:id="495"/>
      <w:bookmarkEnd w:id="496"/>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（一）发展定位</w:t>
      </w:r>
    </w:p>
    <w:p>
      <w:pPr>
        <w:adjustRightInd w:val="0"/>
        <w:snapToGrid w:val="0"/>
        <w:spacing w:line="596" w:lineRule="exact"/>
        <w:ind w:firstLine="600"/>
        <w:rPr>
          <w:color w:val="000000"/>
          <w:sz w:val="30"/>
          <w:szCs w:val="30"/>
        </w:rPr>
      </w:pPr>
      <w:r>
        <w:rPr>
          <w:rFonts w:hint="eastAsia"/>
          <w:color w:val="000000"/>
          <w:sz w:val="30"/>
          <w:szCs w:val="30"/>
        </w:rPr>
        <w:t>围绕“产业升级、集群壮大、增质增效”的总体要求，立足作为中国产量最多、品种最全的重要食用菌优势产区，依靠科技创新，以品种结构调整和生产方式转变为基础，以提升产品质量和打造知名品牌为主导，以提高产业综合竞争力为核心，以发展精深加工为重点，加速规模化、标准化、产业化、功能化进程，不断优化产业格局，把食用菌产业提升成为一个产业链完整、竞争优势突出、富农增收水平显著的特色现代农业产业，力争建成乡村产业兴旺的支柱性产业示范样板。</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（二）发展目标</w:t>
      </w:r>
    </w:p>
    <w:p>
      <w:pPr>
        <w:adjustRightInd w:val="0"/>
        <w:snapToGrid w:val="0"/>
        <w:spacing w:line="596" w:lineRule="exact"/>
        <w:ind w:firstLine="600"/>
        <w:rPr>
          <w:rFonts w:ascii="仿宋_GB2312" w:hAnsi="仿宋_GB2312" w:cs="仿宋_GB2312"/>
          <w:sz w:val="30"/>
          <w:szCs w:val="30"/>
        </w:rPr>
      </w:pPr>
      <w:r>
        <w:rPr>
          <w:rFonts w:hint="eastAsia"/>
          <w:color w:val="000000"/>
          <w:sz w:val="30"/>
          <w:szCs w:val="30"/>
        </w:rPr>
        <w:t>以科技创新为核心，以机制创新为动力，依托古田食用菌国家级现代农业产业园发展优势，全市逐步形成组织化、规模化、标准</w:t>
      </w:r>
      <w:r>
        <w:rPr>
          <w:rFonts w:hint="eastAsia" w:ascii="仿宋_GB2312" w:hAnsi="仿宋_GB2312" w:cs="仿宋_GB2312"/>
          <w:color w:val="000000"/>
          <w:sz w:val="30"/>
          <w:szCs w:val="30"/>
        </w:rPr>
        <w:t>化和品牌化发展，实现专业化分工、社会化服务、工厂化生产、精深化加工、精细化营销的发展目标。调整品种结构，实现草生菌、木生菌、代料栽培共同发展。到2025年，全市食用菌产量突破125万吨（鲜品），食用菌全产业链产值超255亿，年均增长11.6%，比2020年增加107.72亿元。</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（三）规划布局</w:t>
      </w:r>
    </w:p>
    <w:p>
      <w:pPr>
        <w:adjustRightInd w:val="0"/>
        <w:snapToGrid w:val="0"/>
        <w:spacing w:line="596" w:lineRule="exact"/>
        <w:ind w:firstLine="600"/>
        <w:rPr>
          <w:color w:val="000000"/>
          <w:sz w:val="30"/>
          <w:szCs w:val="30"/>
        </w:rPr>
      </w:pPr>
      <w:r>
        <w:rPr>
          <w:rFonts w:hint="eastAsia"/>
          <w:color w:val="000000"/>
          <w:sz w:val="30"/>
          <w:szCs w:val="30"/>
        </w:rPr>
        <w:t>以古田为中心，以古田银耳为主导品牌，根据现有产业基础以及未来发展趋势，优化形成“一群多点”的布局结构。以创建古田“银耳</w:t>
      </w:r>
      <w:r>
        <w:rPr>
          <w:rFonts w:hint="eastAsia" w:ascii="仿宋_GB2312" w:hAnsi="仿宋_GB2312" w:cs="仿宋_GB2312"/>
          <w:color w:val="000000"/>
          <w:sz w:val="30"/>
          <w:szCs w:val="30"/>
        </w:rPr>
        <w:t>小镇”（食用菌产</w:t>
      </w:r>
      <w:r>
        <w:rPr>
          <w:rFonts w:hint="eastAsia"/>
          <w:color w:val="000000"/>
          <w:sz w:val="30"/>
          <w:szCs w:val="30"/>
        </w:rPr>
        <w:t>业综合体）为载体，推动以古田为中心的食用菌产业集群快转型升级，辐射带动多个山区食用菌栽培点和沿海食用菌栽培点共同协调发展。</w:t>
      </w:r>
    </w:p>
    <w:p>
      <w:pPr>
        <w:adjustRightInd w:val="0"/>
        <w:snapToGrid w:val="0"/>
        <w:spacing w:line="596" w:lineRule="exact"/>
        <w:ind w:firstLine="600"/>
        <w:rPr>
          <w:rFonts w:ascii="仿宋_GB2312" w:hAnsi="仿宋_GB2312" w:cs="仿宋_GB2312"/>
          <w:b/>
          <w:bCs/>
          <w:color w:val="000000"/>
          <w:sz w:val="30"/>
          <w:szCs w:val="30"/>
        </w:rPr>
      </w:pPr>
      <w:r>
        <w:rPr>
          <w:rFonts w:hint="eastAsia" w:ascii="仿宋_GB2312" w:hAnsi="仿宋_GB2312" w:cs="仿宋_GB2312"/>
          <w:b/>
          <w:bCs/>
          <w:color w:val="000000"/>
          <w:sz w:val="30"/>
          <w:szCs w:val="30"/>
        </w:rPr>
        <w:t>1.古田多菌类生产食用菌集群</w:t>
      </w:r>
    </w:p>
    <w:p>
      <w:pPr>
        <w:adjustRightInd w:val="0"/>
        <w:snapToGrid w:val="0"/>
        <w:spacing w:line="596" w:lineRule="exact"/>
        <w:ind w:firstLine="600"/>
        <w:rPr>
          <w:color w:val="000000"/>
          <w:sz w:val="30"/>
          <w:szCs w:val="30"/>
        </w:rPr>
      </w:pPr>
      <w:r>
        <w:rPr>
          <w:rFonts w:hint="eastAsia" w:ascii="仿宋_GB2312" w:hAnsi="仿宋_GB2312" w:cs="仿宋_GB2312"/>
          <w:color w:val="000000"/>
          <w:sz w:val="30"/>
          <w:szCs w:val="30"/>
        </w:rPr>
        <w:t>围绕“做优做强主</w:t>
      </w:r>
      <w:r>
        <w:rPr>
          <w:rFonts w:hint="eastAsia"/>
          <w:color w:val="000000"/>
          <w:sz w:val="30"/>
          <w:szCs w:val="30"/>
        </w:rPr>
        <w:t>导产业、推动生产要素集聚、促进产业深度融合、打造双创孵化平台、坚持绿色高效发展”五项重点任务，规划布局五区五中心。</w:t>
      </w:r>
    </w:p>
    <w:p>
      <w:pPr>
        <w:adjustRightInd w:val="0"/>
        <w:snapToGrid w:val="0"/>
        <w:spacing w:line="596" w:lineRule="exact"/>
        <w:ind w:firstLine="600"/>
        <w:rPr>
          <w:color w:val="000000"/>
          <w:sz w:val="30"/>
          <w:szCs w:val="30"/>
        </w:rPr>
      </w:pPr>
      <w:r>
        <w:rPr>
          <w:rFonts w:hint="eastAsia"/>
          <w:color w:val="000000"/>
          <w:sz w:val="30"/>
          <w:szCs w:val="30"/>
        </w:rPr>
        <w:t>五区：以环翠屏湖乡镇（街道）为主的银耳、茶树菇、黑木耳生产区；以鹤塘为主的东部香菇生产区；以吉巷为主的中部猴头菇、滑菇生产区；以平湖、凤埔为主工厂化栽培区；以凤都、黄田等为主的南部中高温菌类生产区的发展布局。</w:t>
      </w:r>
    </w:p>
    <w:p>
      <w:pPr>
        <w:adjustRightInd w:val="0"/>
        <w:snapToGrid w:val="0"/>
        <w:spacing w:line="596" w:lineRule="exact"/>
        <w:ind w:firstLine="600"/>
        <w:rPr>
          <w:color w:val="000000"/>
          <w:sz w:val="30"/>
          <w:szCs w:val="30"/>
        </w:rPr>
      </w:pPr>
      <w:r>
        <w:rPr>
          <w:rFonts w:hint="eastAsia"/>
          <w:color w:val="000000"/>
          <w:sz w:val="30"/>
          <w:szCs w:val="30"/>
        </w:rPr>
        <w:t>五中心：古田工业园（古田食用菌产业园东区、西区）为主，主要建设食用菌科研、文化、产业孵化、人才培养、产品交易、物流、产品精深加工为一体的食用菌科、工、贸文化交流产品集散产业孵化中心；以吉巷永安为中心建设食用菌菌需物资和产品冷链物流中心；凤都食用菌产品精深加工园区为核心的产品精深加中心；以食用菌博览中心为主的食用菌休闲、体验、购物、养生、科普、培训为一体的休闲旅游、培训交流中心；以古田菌种科技园为中心全国食用菌菌种供应中心。</w:t>
      </w:r>
    </w:p>
    <w:p>
      <w:pPr>
        <w:adjustRightInd w:val="0"/>
        <w:snapToGrid w:val="0"/>
        <w:spacing w:line="596" w:lineRule="exact"/>
        <w:ind w:firstLine="600"/>
        <w:rPr>
          <w:rFonts w:ascii="仿宋_GB2312" w:hAnsi="仿宋_GB2312" w:cs="仿宋_GB2312"/>
          <w:b/>
          <w:bCs/>
          <w:color w:val="000000"/>
          <w:sz w:val="30"/>
          <w:szCs w:val="30"/>
        </w:rPr>
      </w:pPr>
      <w:r>
        <w:rPr>
          <w:rFonts w:hint="eastAsia" w:ascii="仿宋_GB2312" w:hAnsi="仿宋_GB2312" w:cs="仿宋_GB2312"/>
          <w:b/>
          <w:bCs/>
          <w:color w:val="000000"/>
          <w:sz w:val="30"/>
          <w:szCs w:val="30"/>
        </w:rPr>
        <w:t>2.两点</w:t>
      </w:r>
    </w:p>
    <w:p>
      <w:pPr>
        <w:adjustRightInd w:val="0"/>
        <w:snapToGrid w:val="0"/>
        <w:spacing w:line="596" w:lineRule="exact"/>
        <w:ind w:firstLine="602"/>
        <w:rPr>
          <w:b/>
          <w:bCs/>
          <w:color w:val="000000"/>
          <w:sz w:val="30"/>
          <w:szCs w:val="30"/>
        </w:rPr>
      </w:pPr>
      <w:r>
        <w:rPr>
          <w:rFonts w:hint="eastAsia"/>
          <w:b/>
          <w:bCs/>
          <w:color w:val="000000"/>
          <w:sz w:val="30"/>
          <w:szCs w:val="30"/>
        </w:rPr>
        <w:t>（</w:t>
      </w:r>
      <w:r>
        <w:rPr>
          <w:rFonts w:hint="eastAsia" w:ascii="仿宋_GB2312" w:hAnsi="仿宋_GB2312" w:cs="仿宋_GB2312"/>
          <w:b/>
          <w:bCs/>
          <w:color w:val="000000"/>
          <w:sz w:val="30"/>
          <w:szCs w:val="30"/>
        </w:rPr>
        <w:t>1</w:t>
      </w:r>
      <w:r>
        <w:rPr>
          <w:rFonts w:hint="eastAsia"/>
          <w:b/>
          <w:bCs/>
          <w:color w:val="000000"/>
          <w:sz w:val="30"/>
          <w:szCs w:val="30"/>
        </w:rPr>
        <w:t>）山区食用菌栽培点</w:t>
      </w:r>
    </w:p>
    <w:p>
      <w:pPr>
        <w:adjustRightInd w:val="0"/>
        <w:snapToGrid w:val="0"/>
        <w:spacing w:line="596" w:lineRule="exact"/>
        <w:ind w:firstLine="600"/>
        <w:rPr>
          <w:color w:val="000000"/>
          <w:sz w:val="30"/>
          <w:szCs w:val="30"/>
        </w:rPr>
      </w:pPr>
      <w:r>
        <w:rPr>
          <w:rFonts w:hint="eastAsia"/>
          <w:color w:val="000000"/>
          <w:sz w:val="30"/>
          <w:szCs w:val="30"/>
        </w:rPr>
        <w:t>以屏南、周宁、寿宁、柘荣等山区县为主体的高山反季节木生食用菌栽培点，重点发展香菇、黑木耳、茶树菇、猴头菇等木腐菌栽培。</w:t>
      </w:r>
    </w:p>
    <w:p>
      <w:pPr>
        <w:adjustRightInd w:val="0"/>
        <w:snapToGrid w:val="0"/>
        <w:spacing w:line="596" w:lineRule="exact"/>
        <w:ind w:firstLine="600"/>
        <w:rPr>
          <w:rFonts w:hint="eastAsia" w:ascii="仿宋_GB2312" w:hAnsi="仿宋_GB2312" w:cs="仿宋_GB2312"/>
          <w:b/>
          <w:bCs/>
          <w:color w:val="000000"/>
          <w:sz w:val="30"/>
          <w:szCs w:val="30"/>
        </w:rPr>
      </w:pPr>
      <w:r>
        <w:rPr>
          <w:rFonts w:hint="eastAsia" w:ascii="仿宋_GB2312" w:hAnsi="仿宋_GB2312" w:cs="仿宋_GB2312"/>
          <w:b/>
          <w:bCs/>
          <w:color w:val="000000"/>
          <w:sz w:val="30"/>
          <w:szCs w:val="30"/>
        </w:rPr>
        <w:t>（2）沿海食用菌栽培点</w:t>
      </w:r>
    </w:p>
    <w:p>
      <w:pPr>
        <w:adjustRightInd w:val="0"/>
        <w:snapToGrid w:val="0"/>
        <w:spacing w:line="596" w:lineRule="exact"/>
        <w:ind w:firstLine="600"/>
        <w:rPr>
          <w:color w:val="000000"/>
          <w:sz w:val="30"/>
          <w:szCs w:val="30"/>
        </w:rPr>
      </w:pPr>
      <w:r>
        <w:rPr>
          <w:rFonts w:hint="eastAsia"/>
          <w:color w:val="000000"/>
          <w:sz w:val="30"/>
          <w:szCs w:val="30"/>
        </w:rPr>
        <w:t>以福安、福鼎、蕉城、霞浦等沿海县（市、区）为主体的草生食用菌栽培点，重点发展双孢蘑菇、平菇、鸡腿菇、草菇等草腐菌栽培。</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（四）发展措施</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1.</w:t>
      </w:r>
      <w:r>
        <w:rPr>
          <w:rFonts w:hint="eastAsia"/>
          <w:b/>
          <w:bCs/>
          <w:color w:val="000000"/>
          <w:sz w:val="30"/>
          <w:szCs w:val="30"/>
        </w:rPr>
        <w:t>推进标准化生产示范，提升菌业生产水平。</w:t>
      </w:r>
      <w:r>
        <w:rPr>
          <w:rFonts w:hint="eastAsia"/>
          <w:color w:val="000000"/>
          <w:sz w:val="30"/>
          <w:szCs w:val="30"/>
        </w:rPr>
        <w:t>建立示范性食用菌生产基地，实现基地“园区化、集约化、标准化”的生产示范作用，以贯彻落实有机食用菌生产技术标准和产品质量标准为主线，大力推广标准化、规范化栽培技术，提高食用菌质量安全水平。提升改造福建农林大学（古田）菌业研究院，推进国家级食用菌产品质量监督检验中心建设，建成以科研和检测为主的食用菌科技园。</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2.着</w:t>
      </w:r>
      <w:r>
        <w:rPr>
          <w:rFonts w:hint="eastAsia"/>
          <w:b/>
          <w:bCs/>
          <w:color w:val="000000"/>
          <w:sz w:val="30"/>
          <w:szCs w:val="30"/>
        </w:rPr>
        <w:t>力推进食用菌</w:t>
      </w:r>
      <w:r>
        <w:rPr>
          <w:rFonts w:hint="eastAsia" w:ascii="仿宋_GB2312" w:hAnsi="仿宋_GB2312" w:cs="仿宋_GB2312"/>
          <w:b/>
          <w:bCs/>
          <w:color w:val="000000"/>
          <w:sz w:val="30"/>
          <w:szCs w:val="30"/>
        </w:rPr>
        <w:t>精深加工优先发展，提高产品附加值。</w:t>
      </w:r>
      <w:r>
        <w:rPr>
          <w:rFonts w:hint="eastAsia" w:ascii="仿宋_GB2312" w:hAnsi="仿宋_GB2312" w:cs="仿宋_GB2312"/>
          <w:color w:val="000000"/>
          <w:sz w:val="30"/>
          <w:szCs w:val="30"/>
        </w:rPr>
        <w:t>围绕食用菌初加工、精深加工和副产物高值化利用三大方向，形成以食用菌鲜食加工及商品化处理、食品加工、功能食品及保健品的完整加工链条，将宁德市食用菌加工转化率提高到75%。整合现有加工资源，培育产加销龙头企业，促进企业由初加工向精深加工方向发展，形成一批农产品加工企业集团。通过打造食用菌加工企业集聚，实现食用菌生产基地、初加工、精深加工和副产物高值化利用等</w:t>
      </w:r>
      <w:r>
        <w:rPr>
          <w:rFonts w:hint="eastAsia"/>
          <w:color w:val="000000"/>
          <w:sz w:val="30"/>
          <w:szCs w:val="30"/>
        </w:rPr>
        <w:t>产业间的前后联动、相互渗透，实现食用菌生产要素集聚。</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3.</w:t>
      </w:r>
      <w:r>
        <w:rPr>
          <w:rFonts w:hint="eastAsia"/>
          <w:b/>
          <w:bCs/>
          <w:color w:val="000000"/>
          <w:sz w:val="30"/>
          <w:szCs w:val="30"/>
        </w:rPr>
        <w:t>加大龙头企业培育力度，推动企业工厂化发展。</w:t>
      </w:r>
      <w:r>
        <w:rPr>
          <w:rFonts w:hint="eastAsia"/>
          <w:color w:val="000000"/>
          <w:sz w:val="30"/>
          <w:szCs w:val="30"/>
        </w:rPr>
        <w:t>按照“兴办一个企业、带动一个产业，建立一个基地、覆盖一批农户”的模式，发挥龙头企业的聚集和辐射带动功能，稳步推进“公司+农户”“公司+基地+专业合作社+农户”等组织形式，与农户形成利益共同体，将生产、加工、销售有机结合，促进“公司+基地、基地带农户、科技市场服务一体化”等生产经营形式的发展。落实中央和福建省支持农业产业化龙头企业发展的意见，实施骨干企业提升工程，加大对食用菌生产加工等龙头企业的扶持力度，重点从土地、资金、科技等方面，加强横向联系整合各方资源，增加服务意识，扩大服务领域，增强服务内容，为龙头企业提供资金信贷、技术培训、市场信息、产品销售、用电用地、工商登记等全程服务，通过举办产品推介会、展销会，帮助企业做好对外宣传招商和引资工作，组织发动龙头企业全方位进入流通领域，提高市场竞争力。帮助龙头企业积极争取国家、省用于扶持龙头企业发展的资金，对基础好、后劲足、带动能力强的龙头企业进行重点扶持，鼓励其做大做强。支持龙头企业与科研单位和高等院校建立多种形式的长期稳定的合作关系，推进科企联合、科企嫁接，在产品生产、流通加工等领域和废气物资转化利用等具有发展前景的新兴领域，培育一批科技含量高、市场占有率大的科技型龙头企业。鼓励和支持龙头企业引进各类人才，培育一批市场营销、产品开发、技术推广、企业管理方面的专业人才，特别是支持、帮助有条件的龙头企业建立自己的研发机构和队伍，鼓励企业采用新工艺、新技术、新设备提高技术装备水平，加快设备更新和技术改造。</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4.搭建产业平台，完善市场销售体系。</w:t>
      </w:r>
      <w:r>
        <w:rPr>
          <w:rFonts w:hint="eastAsia" w:ascii="仿宋_GB2312" w:hAnsi="仿宋_GB2312" w:cs="仿宋_GB2312"/>
          <w:color w:val="000000"/>
          <w:sz w:val="30"/>
          <w:szCs w:val="30"/>
        </w:rPr>
        <w:t>搭建食用菌产业信息平台，建立完善的市场信息服务体系，为菇农提供市场信息，避免菇农一哄而上、盲目种植，引导食用菌产业有序发展；建立现代物流配送中心和电子商务，开展食用菌产品的线上营销，利用“互联网+食用菌”拓宽销售渠道。以具有竞争</w:t>
      </w:r>
      <w:r>
        <w:rPr>
          <w:rFonts w:hint="eastAsia"/>
          <w:color w:val="000000"/>
          <w:sz w:val="30"/>
          <w:szCs w:val="30"/>
        </w:rPr>
        <w:t>力的自主品牌创新为手段，促进交易市场及传统交易手段升级，结合“互联网+”、电商、微商等网络营销模式，建立食用菌及加工产品的全面营销网络。启动农村淘宝项目，培育一批食用菌网络专卖店，充分利用微信、微博等网络平台打造食用菌微商，建立和完善网络营销体系。发挥古田全国性首家以食用菌为主题的电子商务创业园的孵化能力，为有志于食用菌产业创业的人员提供创业平台，给予在孵化期间的初创企业一定的创业服务和政策支持，模拟市场环境，辅助创业者补齐创业初期短板，降低成本，规避风险，平稳度过初创期，最后汇入到市场浪潮中，培育壮大食用菌生产经营主体，实现社会层面上的创业带动就业。总结推广首创的食用菌“民富便利店”新模式。实现线上线下连锁营销，拓宽产品销售渠道，进一步拓展宁德市食用菌国内外市场。</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5.以平台为依托，持续提升产业科技水平。</w:t>
      </w:r>
      <w:r>
        <w:rPr>
          <w:rFonts w:hint="eastAsia" w:ascii="仿宋_GB2312" w:hAnsi="仿宋_GB2312" w:cs="仿宋_GB2312"/>
          <w:color w:val="000000"/>
          <w:sz w:val="30"/>
          <w:szCs w:val="30"/>
        </w:rPr>
        <w:t>创建食用菌产业研究创新平台，积极探寻产学研、科工贸结合的新模式，加快食用菌科技创新研究。一是开展农业废弃物和菌糠的综合利用研究，实现资源的循环利用；二是结合退耕还林工程，开展林下经济食用菌生产模式研究；三是合理开发野生菌资源，培育特色地方优势品种，建设菌种园区，建成全国性多菌类食用菌“母种-原种-栽培种”三级菌种供应中心；四是加快栽培模式创新研究，实现食用菌周年栽培；五是开展菌草利用研究，促进食用菌产业转型；六是发展完善技术保障体系，围绕解决目前栽培中存在的技术问题，全面加强技术培</w:t>
      </w:r>
      <w:r>
        <w:rPr>
          <w:rFonts w:hint="eastAsia"/>
          <w:color w:val="000000"/>
          <w:sz w:val="30"/>
          <w:szCs w:val="30"/>
        </w:rPr>
        <w:t>训和科技服务；七是改造提升食用菌菇棚设施，实施传统菇棚钢架彩钢板改造，探索尝试引进国有资本参与开展绿色光伏+菇棚改造项目，全面改善菇房面貌，提升食用菌生产环境和数量质量，“十四五”期间，力争全面完成“两高”、宁古沿线、重要旅游区和乡村振兴示范点周边区域破旧菇棚拆除或改造工作。</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6.强化品牌塑造升级，提高品牌综合影响力。</w:t>
      </w:r>
      <w:r>
        <w:rPr>
          <w:rFonts w:hint="eastAsia" w:ascii="仿宋_GB2312" w:hAnsi="仿宋_GB2312" w:cs="仿宋_GB2312"/>
          <w:color w:val="000000"/>
          <w:sz w:val="30"/>
          <w:szCs w:val="30"/>
        </w:rPr>
        <w:t>一是积极开展“三品一标”申报认证。加强食用菌</w:t>
      </w:r>
      <w:r>
        <w:rPr>
          <w:rFonts w:hint="eastAsia"/>
          <w:color w:val="000000"/>
          <w:sz w:val="30"/>
          <w:szCs w:val="30"/>
        </w:rPr>
        <w:t>品种资源产权保护，鼓励各地开展地理</w:t>
      </w:r>
      <w:r>
        <w:rPr>
          <w:rFonts w:hint="eastAsia" w:ascii="仿宋_GB2312" w:hAnsi="仿宋_GB2312" w:cs="仿宋_GB2312"/>
          <w:color w:val="000000"/>
          <w:sz w:val="30"/>
          <w:szCs w:val="30"/>
        </w:rPr>
        <w:t>标志商标产品注册、农产品地理标志登记保护、绿色有机产品申报认证。二是建立食用菌产品品牌名录，整合宁德市现有食用菌产品品牌，按照影响层级、影响范围、食用菌质量对品牌种类进行梳理，尽快建立宁德市食用菌产业产品品牌名录。三是实行“企业品牌+区域知名公用品牌”双品牌战略。加强企业产品品牌和企业品牌建设，支持古田银耳、屏南香菇率先培育区域公用品牌。鼓励各地加强食用菌品牌形象标识、包装创意等方面的设计投入，融入现</w:t>
      </w:r>
      <w:r>
        <w:rPr>
          <w:rFonts w:hint="eastAsia"/>
          <w:color w:val="000000"/>
          <w:sz w:val="30"/>
          <w:szCs w:val="30"/>
        </w:rPr>
        <w:t>代科技和美学元素，彰显食用菌品牌个性化。四是加大品牌宣传营销力度。每年举办“中国古田食用菌产业发展大会”，制定发布中国银耳蓝皮书，通过加大对外宣传力度，不断提升宁德食用菌的知名度，推广珍稀食用菌和高山反季节等特色食用菌品牌。</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7.打造休闲观光产业，促进三产深度融合。</w:t>
      </w:r>
      <w:r>
        <w:rPr>
          <w:rFonts w:hint="eastAsia" w:ascii="仿宋_GB2312" w:hAnsi="仿宋_GB2312" w:cs="仿宋_GB2312"/>
          <w:color w:val="000000"/>
          <w:sz w:val="30"/>
          <w:szCs w:val="30"/>
        </w:rPr>
        <w:t>发展食用菌生产和加工产业的同时，依托食用菌种植生产优势，延长产业链，挖掘食用菌文化和产地生产历史，探索高效生态、菌旅融合的发展路径，进一步催化新的食用菌产业形态和食用菌消费业态，促进食用菌种植与文化、生态、休闲、旅游融合发展，打造具有当地特色农旅和创意文化产业，重点推进食用菌休闲观光园、菌果循环观光采摘园、省级标准示范基地以及综合园区等一批食用菌项目，加快建设食用菌冷链物流园区、食用菌菌需物资园等配套设施，规划建设“中国</w:t>
      </w:r>
      <w:r>
        <w:rPr>
          <w:rFonts w:hint="cs" w:ascii="仿宋_GB2312" w:hAnsi="仿宋_GB2312" w:cs="仿宋_GB2312"/>
          <w:color w:val="000000"/>
          <w:sz w:val="30"/>
          <w:szCs w:val="30"/>
          <w:cs/>
        </w:rPr>
        <w:t>•</w:t>
      </w:r>
      <w:r>
        <w:rPr>
          <w:rFonts w:hint="eastAsia" w:ascii="仿宋_GB2312" w:hAnsi="仿宋_GB2312" w:cs="仿宋_GB2312"/>
          <w:color w:val="000000"/>
          <w:sz w:val="30"/>
          <w:szCs w:val="30"/>
        </w:rPr>
        <w:t>古田”食用菌美食园（蘑菇美食大世界和美食一条街）、电商园等文旅综合体，促进一二三产业融合发展。</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500" w:name="_Toc19852"/>
      <w:bookmarkStart w:id="501" w:name="_Toc23315"/>
      <w:bookmarkStart w:id="502" w:name="_Toc5044"/>
      <w:bookmarkStart w:id="503" w:name="_Toc8027"/>
      <w:bookmarkStart w:id="504" w:name="_Toc27592"/>
      <w:bookmarkStart w:id="505" w:name="_Toc2039"/>
      <w:bookmarkStart w:id="506" w:name="_Toc29699"/>
      <w:bookmarkStart w:id="507" w:name="_Toc2957"/>
      <w:bookmarkStart w:id="508" w:name="_Toc7915"/>
      <w:bookmarkStart w:id="509" w:name="_Toc11551"/>
      <w:bookmarkStart w:id="510" w:name="_Toc30709"/>
      <w:bookmarkStart w:id="511" w:name="_Toc19757"/>
      <w:bookmarkStart w:id="512" w:name="_Toc11584"/>
      <w:bookmarkStart w:id="513" w:name="_Toc15737"/>
      <w:bookmarkStart w:id="514" w:name="_Toc9647"/>
      <w:r>
        <w:rPr>
          <w:rFonts w:hint="eastAsia" w:ascii="黑体" w:hAnsi="黑体" w:eastAsia="黑体" w:cs="黑体"/>
          <w:b w:val="0"/>
          <w:bCs/>
          <w:color w:val="000000"/>
          <w:sz w:val="30"/>
          <w:szCs w:val="30"/>
        </w:rPr>
        <w:t>四、水果</w:t>
      </w:r>
      <w:bookmarkEnd w:id="500"/>
      <w:bookmarkEnd w:id="501"/>
      <w:bookmarkEnd w:id="502"/>
      <w:bookmarkEnd w:id="503"/>
      <w:bookmarkEnd w:id="504"/>
      <w:bookmarkEnd w:id="505"/>
      <w:bookmarkEnd w:id="506"/>
      <w:bookmarkEnd w:id="507"/>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（一）发展定位</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立足气候类型多样、果类丰富、品质优良、鲜果供应期长，名优特、地理标志、绿色食品等品牌水果品类众多的优势，发展精品果业、礼品果业，拓展省内外中高端消费市场，实施南果北上，加快打造形成闽东“生态型”精品鲜果供应基地；通过品种引进、改良，延迟采收技术应用，继续引导水果错峰上市，延长鲜果供应期；统筹利用果业资源和旅游资源，在规模生产基地、水果优势种植区、城市近郊、景区周边等产业基础扎实、区位优势突出的地区，打造集生产、采摘、体验、休闲、生态等多功能果业，拓展“水果+”产业链延伸和三产融合。</w:t>
      </w:r>
    </w:p>
    <w:p>
      <w:pPr>
        <w:numPr>
          <w:ilvl w:val="0"/>
          <w:numId w:val="0"/>
        </w:num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（二）发展目标</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到2025年，全市水果全产业链产值达160亿元，年均增长9.73 %，比2020年增加59.41亿元。特色水果区域布局更加合理，水果品种结构更加完善，品牌建设上新台阶。</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（三）规划布局</w:t>
      </w:r>
    </w:p>
    <w:p>
      <w:pPr>
        <w:adjustRightInd w:val="0"/>
        <w:snapToGrid w:val="0"/>
        <w:spacing w:line="596" w:lineRule="exact"/>
        <w:ind w:firstLine="600"/>
        <w:rPr>
          <w:rFonts w:eastAsia="仿宋"/>
          <w:color w:val="000000"/>
          <w:sz w:val="30"/>
          <w:szCs w:val="30"/>
        </w:rPr>
      </w:pPr>
      <w:r>
        <w:rPr>
          <w:rFonts w:hint="eastAsia"/>
          <w:color w:val="000000"/>
          <w:sz w:val="30"/>
          <w:szCs w:val="30"/>
        </w:rPr>
        <w:t>根据宁德市气候条件和区域特征，将水果产业布局规划为三类功能种植区：</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1.东部沿海丘陵、平原常绿果树种植区。</w:t>
      </w:r>
      <w:r>
        <w:rPr>
          <w:rFonts w:hint="eastAsia" w:ascii="仿宋_GB2312" w:hAnsi="仿宋_GB2312" w:cs="仿宋_GB2312"/>
          <w:color w:val="000000"/>
          <w:sz w:val="30"/>
          <w:szCs w:val="30"/>
        </w:rPr>
        <w:t>包括蕉城、福安、霞浦、福鼎等沿海大部分乡镇以及古田县南郊的闽江流域地带，重点发展柑橘、荔枝、杨梅、枇</w:t>
      </w:r>
      <w:r>
        <w:rPr>
          <w:rFonts w:hint="eastAsia"/>
          <w:color w:val="000000"/>
          <w:sz w:val="30"/>
          <w:szCs w:val="30"/>
        </w:rPr>
        <w:t>杷、火龙果、百香果等；</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2.中部低海拔、丘陵盆谷落叶果树和常绿果树混合种植区。</w:t>
      </w:r>
      <w:r>
        <w:rPr>
          <w:rFonts w:hint="eastAsia" w:ascii="仿宋_GB2312" w:hAnsi="仿宋_GB2312" w:cs="仿宋_GB2312"/>
          <w:color w:val="000000"/>
          <w:sz w:val="30"/>
          <w:szCs w:val="30"/>
        </w:rPr>
        <w:t>包括古田县中部、南部地区以及蕉城、福安、福鼎、霞浦等县海拔300—500米的中海拔地区，重点发展葡萄、李、柰、桃、脐橙、百香果等；</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3.西北部中高海拔落叶果树种植区。</w:t>
      </w:r>
      <w:r>
        <w:rPr>
          <w:rFonts w:hint="eastAsia" w:ascii="仿宋_GB2312" w:hAnsi="仿宋_GB2312" w:cs="仿宋_GB2312"/>
          <w:color w:val="000000"/>
          <w:sz w:val="30"/>
          <w:szCs w:val="30"/>
        </w:rPr>
        <w:t>包括柘荣、屏南、周宁、寿宁等地的大部分乡镇以及古田、蕉城、霞浦、福鼎、福安等地少数海拔在500米以上的高海拔乡镇，重点发展葡萄、水蜜桃、猕猴桃、柿子、梨、蓝莓为主的落叶果树。</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重点抓好蕉城、福安、霞浦、福鼎沿海乡镇和古田库区附近18万亩柑橘生产基地建设，福安、霞浦、寿宁优势产区8万亩葡萄生产基地建设，古田、福安等20万亩桃、柰、李优势产区的生产基地建设，蕉城、福安、霞浦环三都澳内海湾地区3.6万亩晚熟龙眼荔枝生产基地建设，蕉城、福安、霞浦、福鼎沿海乡镇2.0万亩枇杷、2.5万亩杨梅生产基地建设。</w:t>
      </w:r>
    </w:p>
    <w:p>
      <w:pPr>
        <w:adjustRightInd w:val="0"/>
        <w:snapToGrid w:val="0"/>
        <w:spacing w:line="596" w:lineRule="exact"/>
        <w:ind w:firstLine="602" w:firstLineChars="0"/>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（四）发展措施</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1.加快产业结构优化升级。</w:t>
      </w:r>
      <w:r>
        <w:rPr>
          <w:rFonts w:hint="eastAsia" w:ascii="仿宋_GB2312" w:hAnsi="仿宋_GB2312" w:cs="仿宋_GB2312"/>
          <w:color w:val="000000"/>
          <w:sz w:val="30"/>
          <w:szCs w:val="30"/>
        </w:rPr>
        <w:t>一是优化区域布局。减少非适宜区果树面积，引导果农适地适栽，使主栽果类向适宜区、最适宜区集聚。优化产业结构，着力培育新兴水果产业，沿海地区重点发展百香果、火龙果、晚熟柑桔等，山区发展百香果、蓝莓、猕猴桃、黄桃等特色果类，推广标准化、规模化生产，到2025年特色果类面积增加3.5万亩；二是调优品种结构。以市场为导向，推动水果主产区调整品种结构，增加早熟、晚熟品种的比例，适度扩大加工鲜食兼用品种比重，推动差异化、特色化发展。到2025年调整面积8万亩，加强</w:t>
      </w:r>
      <w:r>
        <w:rPr>
          <w:rFonts w:hint="eastAsia"/>
          <w:color w:val="000000"/>
          <w:sz w:val="30"/>
          <w:szCs w:val="30"/>
        </w:rPr>
        <w:t>传统优势品种保护，推进蓝莓、猕猴桃、百香果、火龙果等</w:t>
      </w:r>
      <w:r>
        <w:rPr>
          <w:rFonts w:hint="eastAsia" w:ascii="仿宋_GB2312" w:hAnsi="仿宋_GB2312" w:cs="仿宋_GB2312"/>
          <w:color w:val="000000"/>
          <w:sz w:val="30"/>
          <w:szCs w:val="30"/>
        </w:rPr>
        <w:t>特色水果品种优良化和区域化栽培。</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2.积极构建水果业标准化体系。</w:t>
      </w:r>
      <w:r>
        <w:rPr>
          <w:rFonts w:hint="eastAsia" w:ascii="仿宋_GB2312" w:hAnsi="仿宋_GB2312" w:cs="仿宋_GB2312"/>
          <w:color w:val="000000"/>
          <w:sz w:val="30"/>
          <w:szCs w:val="30"/>
        </w:rPr>
        <w:t>一是完善标准化体系基础配套。加大力度提升标准化发展的基础能力，推进标准化基础硬件设施、人才培养模式和技术支撑体系建设。重点加强果业基础设施建设。加强果品设施装备、冷链物流装备、智能制造装备等硬件基础设施的升级打造和自主研发，提高果业标准化运作的硬件能力。加强标准化信息化建设，利用互联网、大数据凝练标准化需求，构建科学适用的标准体系和标准实施推广体系，建设标准化信息服务平台；二是加强标准化体系推广力度。加大标准化生产技术推广力度，最大限度发挥优良品种的性能，提高果品竞争力。开展果业标准化试点工作，以点带面，全面推进标准化体系；三是建设标准化生产示范基地。按照高标准规划、高技术引领、高品质生产的要求，加快建立标准化示范果园，推进龙头企业连片开发建设果园示范基地，高质量稳步增加水果标准化生产示范基地。</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3.全面提升果品精深加工水平。</w:t>
      </w:r>
      <w:r>
        <w:rPr>
          <w:rFonts w:hint="eastAsia" w:ascii="仿宋_GB2312" w:hAnsi="仿宋_GB2312" w:cs="仿宋_GB2312"/>
          <w:color w:val="000000"/>
          <w:sz w:val="30"/>
          <w:szCs w:val="30"/>
        </w:rPr>
        <w:t>一是提升储藏保鲜技术。支持企业或农户加强果品储藏保鲜技术的应用，引导企业或农户按照各自需要选择配备储藏保鲜技术或设备，调动企业或农户使用保鲜新技术或新设备的积极性。综合采用温控贮藏保鲜、气调贮藏保鲜、天然生物制剂等保鲜技术，逐步减少对于化学保鲜技术的使用；二是开发多种加工产品。引导水果加工企业根据市场消费需求变化，提高中高端水果产品的开发力度。加强加工新产品的开发，积极发展柚子、葡萄、李、奈、猕猴桃、百香果等果品精深加工，支持开发果汁饮料、冻干食品、特色果粉、果酒、精油等产品，</w:t>
      </w:r>
      <w:r>
        <w:rPr>
          <w:rFonts w:hint="eastAsia"/>
          <w:color w:val="000000"/>
          <w:sz w:val="30"/>
          <w:szCs w:val="30"/>
        </w:rPr>
        <w:t>鼓励对水果</w:t>
      </w:r>
      <w:r>
        <w:rPr>
          <w:rFonts w:hint="eastAsia" w:ascii="仿宋_GB2312" w:hAnsi="仿宋_GB2312" w:cs="仿宋_GB2312"/>
          <w:color w:val="000000"/>
          <w:sz w:val="30"/>
          <w:szCs w:val="30"/>
        </w:rPr>
        <w:t>进行深度提炼加工，从水果中提取果冻、果胶等价值较高的副产品，支持开发兼具药疗和食疗的果品药物，满足市场多元化需求，提高果品的附加值；三是强化采后商品化处理。鼓励引导龙头企业、农民合作社开展果品无损检测、分级、贴标、包装、保鲜（冷藏、气调）等水果采后商品化处理，加快建设气调、冷藏等贮藏设施，合理配置商品化生产线，着力打造精品、高端水果，提升果品价值。</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4.强化区域知名品牌升级塑造。</w:t>
      </w:r>
      <w:r>
        <w:rPr>
          <w:rFonts w:hint="eastAsia" w:ascii="仿宋_GB2312" w:hAnsi="仿宋_GB2312" w:cs="仿宋_GB2312"/>
          <w:color w:val="000000"/>
          <w:sz w:val="30"/>
          <w:szCs w:val="30"/>
        </w:rPr>
        <w:t>加大对品牌建设的投入，强化顶层设计，集中优势，整合品牌，推行统一规划、统一标识、统一包装、统一销售，创建覆盖宁德市果业全品类的区域知名公用品牌。制定列入名录品牌果品保护办法，对收入品牌目录的果品，实行严格的产品质量安全监管和市场营销管理。支持福安葡萄、福安穆阳水蜜桃、古田油奈、福鼎四季柚、寿宁晚熟葡萄等率先培育区域公用品牌。依托龙头企业和行业协会，完善水果产销联盟，建立完善产品等级标准和品牌使用标准。强化行业自律和自我监管，规范品牌服务，维护品牌名誉，提高品牌公信力。鼓励各地加强果品品牌形象标识、包装创意等方面的设计投入，融入现代科技和美学元素，彰显果品品牌个性化。</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5.推进信息技术深度运用。</w:t>
      </w:r>
      <w:r>
        <w:rPr>
          <w:rFonts w:hint="eastAsia" w:ascii="仿宋_GB2312" w:hAnsi="仿宋_GB2312" w:cs="仿宋_GB2312"/>
          <w:color w:val="000000"/>
          <w:sz w:val="30"/>
          <w:szCs w:val="30"/>
        </w:rPr>
        <w:t>推进互联网、物联网、大数据、云计算等信息技术向果种植、生产、经营、加工、流通、销售等领域的渗透和运用，促进果业的产供销与互</w:t>
      </w:r>
      <w:r>
        <w:rPr>
          <w:rFonts w:hint="eastAsia"/>
          <w:color w:val="000000"/>
          <w:sz w:val="30"/>
          <w:szCs w:val="30"/>
        </w:rPr>
        <w:t>联网、物联网的深度融合和协同发展。加强果业物联网的推广运用，提高果业种植智能化和精准化水平，发展智慧果业。推进宽带进村入户，提升农民智能设备应用技能。加强果业大数据的运用，构建大数据应用平台，整合各类涉农信息服务资源，实时发布重要果品供需、质量、价格等信息，增强果业全产业链综合信息服务能力。</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515" w:name="_Toc23569"/>
      <w:r>
        <w:rPr>
          <w:rFonts w:hint="eastAsia" w:ascii="黑体" w:hAnsi="黑体" w:eastAsia="黑体" w:cs="黑体"/>
          <w:b w:val="0"/>
          <w:bCs/>
          <w:color w:val="000000"/>
          <w:sz w:val="30"/>
          <w:szCs w:val="30"/>
        </w:rPr>
        <w:t>五、蔬菜</w:t>
      </w:r>
      <w:bookmarkEnd w:id="497"/>
      <w:bookmarkEnd w:id="498"/>
      <w:bookmarkEnd w:id="499"/>
      <w:bookmarkEnd w:id="508"/>
      <w:bookmarkEnd w:id="509"/>
      <w:bookmarkEnd w:id="510"/>
      <w:bookmarkEnd w:id="511"/>
      <w:bookmarkEnd w:id="512"/>
      <w:bookmarkEnd w:id="513"/>
      <w:bookmarkEnd w:id="514"/>
      <w:bookmarkEnd w:id="515"/>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（一）发展定位</w:t>
      </w:r>
    </w:p>
    <w:p>
      <w:pPr>
        <w:adjustRightInd w:val="0"/>
        <w:snapToGrid w:val="0"/>
        <w:spacing w:line="596" w:lineRule="exact"/>
        <w:ind w:firstLine="600"/>
        <w:rPr>
          <w:color w:val="000000"/>
          <w:sz w:val="30"/>
          <w:szCs w:val="30"/>
        </w:rPr>
      </w:pPr>
      <w:r>
        <w:rPr>
          <w:rFonts w:hint="eastAsia"/>
          <w:color w:val="000000"/>
          <w:sz w:val="30"/>
          <w:szCs w:val="30"/>
        </w:rPr>
        <w:t>围绕提高蔬菜产品质量安全这一主线，把宁德打造成福建省最具特色的“高山生态鲜销菜生产基地”和“加工原料生产基地”；充分发挥宁德市在标准化、优质化蔬菜生产方面的优势，大力发展“设施蔬菜”和“高山蔬菜”种植，促进山区特色优势商品性蔬菜区域性化发展和外销型发展，将宁德市打造成“都市服务型”现代化蔬菜生产基地；立足蔬菜良种覆盖率高，高山蔬菜栽培时间长、技术成熟，标准化技术推广力度大，基地辐射带动能力强的优势，把宁德全面打造成为福建省“山区高效优质蔬菜产业科技示范基地”。</w:t>
      </w:r>
    </w:p>
    <w:p>
      <w:pPr>
        <w:adjustRightInd w:val="0"/>
        <w:snapToGrid w:val="0"/>
        <w:spacing w:line="596" w:lineRule="exact"/>
        <w:ind w:firstLine="602"/>
        <w:rPr>
          <w:b/>
          <w:bCs/>
          <w:color w:val="000000"/>
          <w:sz w:val="30"/>
          <w:szCs w:val="30"/>
        </w:rPr>
      </w:pPr>
      <w:r>
        <w:rPr>
          <w:rFonts w:hint="eastAsia" w:ascii="楷体_GB2312" w:hAnsi="楷体_GB2312" w:eastAsia="楷体_GB2312" w:cs="楷体_GB2312"/>
          <w:b/>
          <w:bCs/>
          <w:color w:val="000000"/>
          <w:sz w:val="30"/>
          <w:szCs w:val="30"/>
        </w:rPr>
        <w:t>（二）发展目标</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到2025年，全市蔬菜全产业链产值达192亿元，年均增长3.89%，比2020年增加33.38亿元。沿海早春外销型、内陆高山型两大类蔬菜形成产业群，蔬菜发展配套体系建设基本完善。</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（三）规划布局</w:t>
      </w:r>
    </w:p>
    <w:p>
      <w:pPr>
        <w:adjustRightInd w:val="0"/>
        <w:snapToGrid w:val="0"/>
        <w:spacing w:line="596" w:lineRule="exact"/>
        <w:ind w:firstLine="600"/>
        <w:rPr>
          <w:color w:val="000000"/>
          <w:sz w:val="30"/>
          <w:szCs w:val="30"/>
        </w:rPr>
      </w:pPr>
      <w:r>
        <w:rPr>
          <w:rFonts w:hint="eastAsia"/>
          <w:color w:val="000000"/>
          <w:sz w:val="30"/>
          <w:szCs w:val="30"/>
        </w:rPr>
        <w:t>依托宁德市独特的山地资源条件和现有产业基础，着力构建优质特色蔬菜产业带；近郊发展优质叶类蔬菜和精细菜，沿海一带发</w:t>
      </w:r>
      <w:r>
        <w:rPr>
          <w:rFonts w:hint="eastAsia" w:ascii="仿宋_GB2312" w:hAnsi="仿宋_GB2312" w:cs="仿宋_GB2312"/>
          <w:color w:val="000000"/>
          <w:sz w:val="30"/>
          <w:szCs w:val="30"/>
        </w:rPr>
        <w:t>展早春外销蔬菜，中高海拔地区发展高山蔬菜，同时建设加工冷冻蔬菜加工产业带；健全和完善蔬菜产业发展配套体系，把宁德市打造成福建省最具特色的高山生态鲜销菜基地和加工原料生产基地；增强加工增值、科技支撑、市场拓展、服务保障四个能力，努力提升蔬菜产业化经营水平。产业布局：</w:t>
      </w:r>
      <w:r>
        <w:rPr>
          <w:rFonts w:hint="eastAsia" w:ascii="仿宋_GB2312" w:hAnsi="仿宋_GB2312" w:cs="仿宋_GB2312"/>
          <w:color w:val="000000"/>
          <w:sz w:val="30"/>
          <w:szCs w:val="30"/>
          <w:lang w:eastAsia="zh-CN"/>
        </w:rPr>
        <w:t>１</w:t>
      </w:r>
      <w:r>
        <w:rPr>
          <w:rFonts w:hint="eastAsia" w:ascii="仿宋_GB2312" w:hAnsi="仿宋_GB2312" w:cs="仿宋_GB2312"/>
          <w:color w:val="000000"/>
          <w:sz w:val="30"/>
          <w:szCs w:val="30"/>
          <w:lang w:val="en-US" w:eastAsia="zh-CN"/>
        </w:rPr>
        <w:t>.</w:t>
      </w:r>
      <w:r>
        <w:rPr>
          <w:rFonts w:hint="eastAsia" w:ascii="仿宋_GB2312" w:hAnsi="仿宋_GB2312" w:cs="仿宋_GB2312"/>
          <w:color w:val="000000"/>
          <w:sz w:val="30"/>
          <w:szCs w:val="30"/>
        </w:rPr>
        <w:t>沿海早春外销蔬菜生产区，涉及福鼎、霞浦、福安、蕉城等4个县（市、区）。利用亚热带海洋性季风气候的特点，面向周边省份的大中城市，利用“季节差”与市场空档，积极发展“春提前”蔬菜。</w:t>
      </w:r>
      <w:r>
        <w:rPr>
          <w:rFonts w:hint="eastAsia" w:ascii="仿宋_GB2312" w:hAnsi="仿宋_GB2312" w:cs="仿宋_GB2312"/>
          <w:color w:val="000000"/>
          <w:sz w:val="30"/>
          <w:szCs w:val="30"/>
          <w:lang w:eastAsia="zh-CN"/>
        </w:rPr>
        <w:t>２</w:t>
      </w:r>
      <w:r>
        <w:rPr>
          <w:rFonts w:hint="eastAsia" w:ascii="仿宋_GB2312" w:hAnsi="仿宋_GB2312" w:cs="仿宋_GB2312"/>
          <w:color w:val="000000"/>
          <w:sz w:val="30"/>
          <w:szCs w:val="30"/>
          <w:lang w:val="en-US" w:eastAsia="zh-CN"/>
        </w:rPr>
        <w:t>.</w:t>
      </w:r>
      <w:r>
        <w:rPr>
          <w:rFonts w:hint="eastAsia" w:ascii="仿宋_GB2312" w:hAnsi="仿宋_GB2312" w:cs="仿宋_GB2312"/>
          <w:color w:val="000000"/>
          <w:sz w:val="30"/>
          <w:szCs w:val="30"/>
        </w:rPr>
        <w:t>内陆高山夏秋蔬菜生产区，涉及屏南、周宁、寿宁、柘荣、古田等5个县。该区属于较为典型的中亚热带高山暖湿气候，故利用其夏秋高山冷凉型气候条件，面向省内外大中城市，发展优质高山绿色蔬菜。</w:t>
      </w:r>
      <w:r>
        <w:rPr>
          <w:rFonts w:hint="eastAsia" w:ascii="仿宋_GB2312" w:hAnsi="仿宋_GB2312" w:cs="仿宋_GB2312"/>
          <w:color w:val="000000"/>
          <w:sz w:val="30"/>
          <w:szCs w:val="30"/>
          <w:lang w:eastAsia="zh-CN"/>
        </w:rPr>
        <w:t>３</w:t>
      </w:r>
      <w:r>
        <w:rPr>
          <w:rFonts w:hint="eastAsia" w:ascii="仿宋_GB2312" w:hAnsi="仿宋_GB2312" w:cs="仿宋_GB2312"/>
          <w:color w:val="000000"/>
          <w:sz w:val="30"/>
          <w:szCs w:val="30"/>
          <w:lang w:val="en-US" w:eastAsia="zh-CN"/>
        </w:rPr>
        <w:t>.</w:t>
      </w:r>
      <w:r>
        <w:rPr>
          <w:rFonts w:hint="eastAsia" w:ascii="仿宋_GB2312" w:hAnsi="仿宋_GB2312" w:cs="仿宋_GB2312"/>
          <w:color w:val="000000"/>
          <w:sz w:val="30"/>
          <w:szCs w:val="30"/>
        </w:rPr>
        <w:t>城镇近远郊内销型和利用秋冬闲田种植蔬菜的秋冬季蔬菜生产区，涉及全市9个县（市、区）。以发展优质蔬菜为主，提高蔬菜的产量、品质</w:t>
      </w:r>
      <w:r>
        <w:rPr>
          <w:rFonts w:hint="eastAsia"/>
          <w:color w:val="000000"/>
          <w:sz w:val="30"/>
          <w:szCs w:val="30"/>
        </w:rPr>
        <w:t>和效益。</w:t>
      </w:r>
    </w:p>
    <w:p>
      <w:pPr>
        <w:adjustRightInd w:val="0"/>
        <w:snapToGrid w:val="0"/>
        <w:spacing w:line="596" w:lineRule="exact"/>
        <w:ind w:firstLine="602"/>
        <w:rPr>
          <w:b/>
          <w:bCs/>
          <w:color w:val="000000"/>
          <w:sz w:val="30"/>
          <w:szCs w:val="30"/>
        </w:rPr>
      </w:pPr>
      <w:r>
        <w:rPr>
          <w:rFonts w:hint="eastAsia" w:ascii="楷体_GB2312" w:hAnsi="楷体_GB2312" w:eastAsia="楷体_GB2312" w:cs="楷体_GB2312"/>
          <w:b/>
          <w:bCs/>
          <w:color w:val="000000"/>
          <w:sz w:val="30"/>
          <w:szCs w:val="30"/>
        </w:rPr>
        <w:t>（四）发展措施</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1.优化产业布局，扩大优势区域蔬菜生产面积。</w:t>
      </w:r>
      <w:r>
        <w:rPr>
          <w:rFonts w:hint="eastAsia" w:ascii="仿宋_GB2312" w:hAnsi="仿宋_GB2312" w:cs="仿宋_GB2312"/>
          <w:color w:val="000000"/>
          <w:sz w:val="30"/>
          <w:szCs w:val="30"/>
        </w:rPr>
        <w:t>巩固提升沿海早春外销蔬菜生产区，即福鼎、霞浦、福安、蕉城大部分乡镇，重点发展早春保护地蔬菜栽培，满足本地需求以及面向周边省份的大中城市，利用“季节差”，积极发展“春提前”蔬菜生产，在巩固其南菜北运主产区地位的基础上，加快实现整体提升，到2025年增加面积2万亩；大力发展内陆高山蔬菜生产区，即屏南、周宁、寿宁、柘荣、古田，发展方向是面向省内外大中城市，利用夏秋高山区冷</w:t>
      </w:r>
      <w:r>
        <w:rPr>
          <w:rFonts w:hint="eastAsia"/>
          <w:color w:val="000000"/>
          <w:sz w:val="30"/>
          <w:szCs w:val="30"/>
        </w:rPr>
        <w:t>凉型气候，</w:t>
      </w:r>
      <w:r>
        <w:rPr>
          <w:rFonts w:hint="eastAsia" w:ascii="仿宋_GB2312" w:hAnsi="仿宋_GB2312" w:cs="仿宋_GB2312"/>
          <w:color w:val="000000"/>
          <w:sz w:val="30"/>
          <w:szCs w:val="30"/>
        </w:rPr>
        <w:t>发展优质高山蔬菜，到2025年增加面积4万亩；巩固城镇近远郊内销型和利用秋冬闲田种植蔬菜的秋冬季蔬菜生产区，全市9个县（市、区），以发展优质安全蔬菜为主，保障城市蔬菜供应。</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2.推行商品化处理与加工，强化外销能力。</w:t>
      </w:r>
      <w:r>
        <w:rPr>
          <w:rFonts w:hint="eastAsia" w:ascii="仿宋_GB2312" w:hAnsi="仿宋_GB2312" w:cs="仿宋_GB2312"/>
          <w:color w:val="000000"/>
          <w:sz w:val="30"/>
          <w:szCs w:val="30"/>
        </w:rPr>
        <w:t>一是蔬菜商品化处理。加快推广蔬菜采后整修与洗涤、预冷、保鲜处理（冷藏、气调）、分级、包装、初加工等采后商品化处理流程，处理技术和设施设备，提升采后商品化水平，提高产品质量。扶持鼓励中小果</w:t>
      </w:r>
      <w:r>
        <w:rPr>
          <w:rFonts w:hint="eastAsia"/>
          <w:color w:val="000000"/>
          <w:sz w:val="30"/>
          <w:szCs w:val="30"/>
        </w:rPr>
        <w:t>蔬经销企业发展基础设施的建设，实现果蔬挑选、修整、分级、清洗、打蜡抛光、包装的商品化处理的自动化；二是蔬菜精深加工。实施技术改造升级，开发干制蔬菜、冻干蔬菜、蔬菜汁等精深加工产品，延伸产业链，提高产品附加值。</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3.加强市场流通环节建设。</w:t>
      </w:r>
      <w:r>
        <w:rPr>
          <w:rFonts w:hint="eastAsia" w:ascii="仿宋_GB2312" w:hAnsi="仿宋_GB2312" w:cs="仿宋_GB2312"/>
          <w:color w:val="000000"/>
          <w:sz w:val="30"/>
          <w:szCs w:val="30"/>
        </w:rPr>
        <w:t>一是完善蔬菜冷链物流。加强蔬菜物流配套基础设施建设，增强现代物流与冷链系统等公共服务能力，做到物流及时通畅，打造蔬菜冷链物流园，建立从产地到市场的冷链体系，延长蔬菜特别是优质蔬菜的货架期，提高蔬菜采后增值率；二是开拓市场。重点建设蔬菜外调物流中心，在主产区改造建设一批产地批发市场，进一步完善蔬菜批发市场，逐步形成南方重要的冬春蔬菜和夏秋高山蔬菜物流中心。进一步发挥全市冬春设施蔬菜和夏秋高山蔬菜的生产优势，开拓闽南、浙、沪地区市场。</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4.强化蔬菜产业科技支撑。</w:t>
      </w:r>
      <w:r>
        <w:rPr>
          <w:rFonts w:hint="eastAsia" w:ascii="仿宋_GB2312" w:hAnsi="仿宋_GB2312" w:cs="仿宋_GB2312"/>
          <w:color w:val="000000"/>
          <w:sz w:val="30"/>
          <w:szCs w:val="30"/>
        </w:rPr>
        <w:t>一是蔬菜产品标准化生产。重点加大蔬菜产业标准化生产基地建设，加大蔬菜产品</w:t>
      </w:r>
      <w:r>
        <w:rPr>
          <w:rFonts w:hint="eastAsia"/>
          <w:color w:val="000000"/>
          <w:sz w:val="30"/>
          <w:szCs w:val="30"/>
        </w:rPr>
        <w:t>质量安全可追溯体系建设，增加蔬菜产品“三品一标”认证数量，提高蔬菜产品质量安全水平；二是蔬菜产品集约化生产。积极打造集约化专业育供苗中心，推广蔬菜新品种，积极发展蔬菜集约化、轻简化生产；三是加快科技转化与推广。在重点蔬菜基地县市、乡镇建立蔬菜科研综合基地,开发适销对路的品种和配套栽培技术,就地转化应用。</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5.推进品牌建设，打造区域知名公用品牌。</w:t>
      </w:r>
      <w:r>
        <w:rPr>
          <w:rFonts w:hint="eastAsia" w:ascii="仿宋_GB2312" w:hAnsi="仿宋_GB2312" w:cs="仿宋_GB2312"/>
          <w:color w:val="000000"/>
          <w:sz w:val="30"/>
          <w:szCs w:val="30"/>
        </w:rPr>
        <w:t>鼓励全市龙头企业、农民专业合作组织、生产经营大户等开展绿色蔬菜、有机蔬菜的产地认定和产品认证，巩固老品牌，壮大小品牌，创造新品牌，建设宁德蔬菜品牌集群。积极开展产品推介促销活动，提高品牌知名度。推行蔬菜产品质量追溯制度，蔬菜示范基地和标准园生产的蔬菜产品全部建立质量追溯档案。积极培育地方区域公用品牌，突出打造“福鼎槟榔芋”、“屏南高山花菜”等一批蔬菜区域公用品牌。建立完善产品分级标准，使用统一包装、统一标识销售，强化公</w:t>
      </w:r>
      <w:r>
        <w:rPr>
          <w:rFonts w:hint="eastAsia"/>
          <w:color w:val="000000"/>
          <w:sz w:val="30"/>
          <w:szCs w:val="30"/>
        </w:rPr>
        <w:t>共品牌管理。</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516" w:name="_Toc6532"/>
      <w:bookmarkStart w:id="517" w:name="_Toc12297"/>
      <w:bookmarkStart w:id="518" w:name="_Toc17901"/>
      <w:bookmarkStart w:id="519" w:name="_Toc543"/>
      <w:bookmarkStart w:id="520" w:name="_Toc31042"/>
      <w:bookmarkStart w:id="521" w:name="_Toc9416"/>
      <w:bookmarkStart w:id="522" w:name="_Toc26381"/>
      <w:bookmarkStart w:id="523" w:name="_Toc13416"/>
      <w:bookmarkStart w:id="524" w:name="_Toc7059"/>
      <w:bookmarkStart w:id="525" w:name="_Toc2221"/>
      <w:bookmarkStart w:id="526" w:name="_Toc11666"/>
      <w:r>
        <w:rPr>
          <w:rFonts w:hint="eastAsia" w:ascii="黑体" w:hAnsi="黑体" w:eastAsia="黑体" w:cs="黑体"/>
          <w:b w:val="0"/>
          <w:bCs/>
          <w:color w:val="000000"/>
          <w:sz w:val="30"/>
          <w:szCs w:val="30"/>
        </w:rPr>
        <w:t>六、中草药材</w:t>
      </w:r>
      <w:bookmarkEnd w:id="516"/>
      <w:bookmarkEnd w:id="517"/>
      <w:bookmarkEnd w:id="518"/>
      <w:bookmarkEnd w:id="519"/>
      <w:bookmarkEnd w:id="520"/>
      <w:bookmarkEnd w:id="521"/>
      <w:bookmarkEnd w:id="522"/>
      <w:bookmarkEnd w:id="523"/>
      <w:bookmarkEnd w:id="524"/>
      <w:bookmarkEnd w:id="525"/>
      <w:bookmarkEnd w:id="526"/>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（一）发展定位</w:t>
      </w:r>
    </w:p>
    <w:p>
      <w:pPr>
        <w:adjustRightInd w:val="0"/>
        <w:snapToGrid w:val="0"/>
        <w:spacing w:line="596" w:lineRule="exact"/>
        <w:ind w:firstLine="600"/>
        <w:rPr>
          <w:color w:val="000000"/>
          <w:sz w:val="30"/>
          <w:szCs w:val="30"/>
        </w:rPr>
      </w:pPr>
      <w:r>
        <w:rPr>
          <w:rFonts w:hint="eastAsia"/>
          <w:color w:val="000000"/>
          <w:sz w:val="30"/>
          <w:szCs w:val="30"/>
        </w:rPr>
        <w:t xml:space="preserve">立足优质药材资源，优化结构，重点发展已有产业基础的太子参、黄栀子、黄精、金银花、杜仲、厚朴、银杏、三叶青、金线莲、铁皮石斛等药材基地建设，进一步挖掘药材资源潜力，通过龙头企业的带动和精深加工的发展，培育百亿生物医药产业集群，把宁德打造成为“福建省最大的中草药材产业基地”；充分发挥独特的资源生态优势和产业优势，延伸产业链条，实施产业品牌升级战略，突破“闽东药城”柘荣县县域范围标签，把宁德全市打造成辐射力更强，影响力更大的“海西药城”；立足中草药材产业产品特性，推进多功能开发，联合挖掘宁德国家非物质文化遗产资源，加速三产融合，把宁德打造成为特色鲜明的“中药养生文化城”。 </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（二）发展目标</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到2025年，全市中草药材全产业链产值达95亿元，年均增长9.13%，比2020年增加33.62亿元。优化中药材产业基地布局，提升加工能力，抢占中药材产业营销市场制高点，将宁德建设成为我国南方的特色中药材产业区，促进区域经济发展，增加农民收入。</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（三）规划布局</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按照资源条件和产业基础，规划布局为“一城两带”，其中“一城”为中国南方药城—柘荣，“两带”为以福安、寿宁、霞浦、福鼎半山区为主的太子参产业带和福鼎为主的黄栀子产业带。规划以柘荣药城为中心辐射两个药材产业带，大力发展太子参、黄栀子、黄精、金银花、淮山、杜仲、厚朴、铁皮石斛、金线莲、三叶青、当归、山苍子、茯苓等药材，以龙头企业和专业批发市场的带动大力推进中草药材种植、加工和交易一体化经营。</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（四）发展措施</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1.完善中草药材规范化生产体系。</w:t>
      </w:r>
      <w:r>
        <w:rPr>
          <w:rFonts w:hint="eastAsia" w:ascii="仿宋_GB2312" w:hAnsi="仿宋_GB2312" w:cs="仿宋_GB2312"/>
          <w:color w:val="000000"/>
          <w:sz w:val="30"/>
          <w:szCs w:val="30"/>
        </w:rPr>
        <w:t>一是推进中草药材种子种苗繁育。建立中草药材良种繁育基地，按照中草药材种子种苗相关标准，在适宜产区开展标准化、规模化、产业化的种子种苗繁育，从源头上保证优质中草药材生产。鼓励支持</w:t>
      </w:r>
      <w:r>
        <w:rPr>
          <w:rFonts w:hint="eastAsia" w:ascii="仿宋_GB2312" w:hAnsi="仿宋_GB2312" w:cs="仿宋_GB2312"/>
          <w:color w:val="000000"/>
          <w:sz w:val="30"/>
          <w:szCs w:val="30"/>
          <w:lang w:val="en-US" w:eastAsia="zh-CN"/>
        </w:rPr>
        <w:t>具备</w:t>
      </w:r>
      <w:r>
        <w:rPr>
          <w:rFonts w:hint="eastAsia" w:ascii="仿宋_GB2312" w:hAnsi="仿宋_GB2312" w:cs="仿宋_GB2312"/>
          <w:color w:val="000000"/>
          <w:sz w:val="30"/>
          <w:szCs w:val="30"/>
        </w:rPr>
        <w:t>相关</w:t>
      </w:r>
      <w:r>
        <w:rPr>
          <w:rFonts w:hint="eastAsia" w:ascii="仿宋_GB2312" w:hAnsi="仿宋_GB2312" w:cs="仿宋_GB2312"/>
          <w:color w:val="000000"/>
          <w:sz w:val="30"/>
          <w:szCs w:val="30"/>
          <w:lang w:val="en-US" w:eastAsia="zh-CN"/>
        </w:rPr>
        <w:t>实力的</w:t>
      </w:r>
      <w:r>
        <w:rPr>
          <w:rFonts w:hint="eastAsia" w:ascii="仿宋_GB2312" w:hAnsi="仿宋_GB2312" w:cs="仿宋_GB2312"/>
          <w:color w:val="000000"/>
          <w:sz w:val="30"/>
          <w:szCs w:val="30"/>
        </w:rPr>
        <w:t>企业、研发机构，建设太子参及道地药材三叶青等种苗繁育基地，探索品种研发和推广双赢的机制体制，有效解决如柘参3号等品种推广和知识产权保护难的问题。加快推进铁皮石斛、金线莲等特药种苗组培繁育基地；二是推进中草药材标准化基地建设。鼓励企业建立药源基地和GAP示范基地，引导种植户严格按照GAP标准种植中草药材，尽快使各种道地药材品种上规模、上档次。其中，已有较好产业基础的柘荣太子参、福鼎黄栀子等要进一步做大做强；前景较好的道地药材品种，如三叶青、当归、半夏、覆盆子、淮山、百合、金银花等，要加大扶持力度，通过GAP示范基地建设夯实基础，提升水平；三是加强野生中草药材资源保护。开展中草药材资源普查，适时组织开展全市中药资源普查，全面摸清掌握中药资源家底。选择野生资源较好区域，建立中草药材野生资源保护发展园区，制定优惠扶持政策，尽快恢复原植被群落。选择抗逆性强的道地中草药材种子和苗栽，在园区进行野生驯化种植，恢复野生特性，丰富园区野生种，扩繁原生态种源。研究实施科学优化园区自然生态环境，提高道地中草药材产量和质量，增加收入。将道地中草药材野生资源保护和发展与农林牧渔环境生态建设和农村观光、旅游餐饮以及医药健康服务紧密结合起来，提高中草药材保护和发展的经济效益、生态效益和社会效益。加快建立以柘荣太子参为核心的中草药材资源动态监测网络，与全国中草药材主要产区的资源监测网络对接，及时掌握资源动态变化，提供预警信息。加快建立道地种质资源保护体系，保护</w:t>
      </w:r>
      <w:r>
        <w:rPr>
          <w:rFonts w:hint="eastAsia"/>
          <w:color w:val="000000"/>
          <w:sz w:val="30"/>
          <w:szCs w:val="30"/>
        </w:rPr>
        <w:t>药用种质资源及生物多样性。</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2.加快原药材向精深加工转型。</w:t>
      </w:r>
      <w:r>
        <w:rPr>
          <w:rFonts w:hint="eastAsia" w:ascii="仿宋_GB2312" w:hAnsi="仿宋_GB2312" w:cs="仿宋_GB2312"/>
          <w:color w:val="000000"/>
          <w:sz w:val="30"/>
          <w:szCs w:val="30"/>
        </w:rPr>
        <w:t>一是规范中草药材产地初加工。除少数要求鲜用或保持原状外，大部分药材在采收后必须在产地及时进行初加工，以保证药材质量，防止霉烂腐败，便于贮藏和运输。另外，在初加工时按照药材和用药的需要，进行分级、净制等其他技术处理。二是推进中草药材精深加工。重点加快推进柘荣药城建设，完善扶持和配套政策，加大引进和培育药业加工及关联企业力度，壮大药业加工产业的规模。突出在基因工程药物、现代中药、生化制药、医疗保健品、医疗器械等领域重点扶持1-2家示范企业。三是在现有基础上优化提升产业链水平。化学药产业链、中药产业链分别</w:t>
      </w:r>
      <w:r>
        <w:rPr>
          <w:rFonts w:hint="eastAsia" w:ascii="仿宋_GB2312" w:hAnsi="仿宋_GB2312" w:cs="仿宋_GB2312"/>
          <w:color w:val="000000"/>
          <w:sz w:val="30"/>
          <w:szCs w:val="30"/>
          <w:lang w:val="en-US" w:eastAsia="zh-CN"/>
        </w:rPr>
        <w:t>依托域内龙头企业</w:t>
      </w:r>
      <w:r>
        <w:rPr>
          <w:rFonts w:hint="eastAsia" w:ascii="仿宋_GB2312" w:hAnsi="仿宋_GB2312" w:cs="仿宋_GB2312"/>
          <w:color w:val="000000"/>
          <w:sz w:val="30"/>
          <w:szCs w:val="30"/>
        </w:rPr>
        <w:t>，着力在产业链关键环节和附加值高的环节实现拓展提升，吸引更多的相关企业在本地根植，形成集聚，并实现企业衍生；医疗器械产业链主要依托</w:t>
      </w:r>
      <w:r>
        <w:rPr>
          <w:rFonts w:hint="eastAsia" w:ascii="仿宋_GB2312" w:hAnsi="仿宋_GB2312" w:cs="仿宋_GB2312"/>
          <w:color w:val="000000"/>
          <w:sz w:val="30"/>
          <w:szCs w:val="30"/>
          <w:lang w:val="en-US" w:eastAsia="zh-CN"/>
        </w:rPr>
        <w:t>域内</w:t>
      </w:r>
      <w:r>
        <w:rPr>
          <w:rFonts w:hint="eastAsia" w:ascii="仿宋_GB2312" w:hAnsi="仿宋_GB2312" w:cs="仿宋_GB2312"/>
          <w:color w:val="000000"/>
          <w:sz w:val="30"/>
          <w:szCs w:val="30"/>
        </w:rPr>
        <w:t>医疗器械生产</w:t>
      </w:r>
      <w:r>
        <w:rPr>
          <w:rFonts w:hint="eastAsia" w:ascii="仿宋_GB2312" w:hAnsi="仿宋_GB2312" w:cs="仿宋_GB2312"/>
          <w:color w:val="000000"/>
          <w:sz w:val="30"/>
          <w:szCs w:val="30"/>
          <w:lang w:val="en-US" w:eastAsia="zh-CN"/>
        </w:rPr>
        <w:t>企业</w:t>
      </w:r>
      <w:r>
        <w:rPr>
          <w:rFonts w:hint="eastAsia" w:ascii="仿宋_GB2312" w:hAnsi="仿宋_GB2312" w:cs="仿宋_GB2312"/>
          <w:color w:val="000000"/>
          <w:sz w:val="30"/>
          <w:szCs w:val="30"/>
        </w:rPr>
        <w:t>，积极促进医疗器械制造的转型升级，加强新材料、新科技、高技术等与材料、设备、工艺创新等之间的整合。</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3.搭建产业平台，加强市场对接。</w:t>
      </w:r>
      <w:r>
        <w:rPr>
          <w:rFonts w:hint="eastAsia" w:ascii="仿宋_GB2312" w:hAnsi="仿宋_GB2312" w:cs="仿宋_GB2312"/>
          <w:color w:val="000000"/>
          <w:sz w:val="30"/>
          <w:szCs w:val="30"/>
        </w:rPr>
        <w:t>一是推进现代医药物流园区建设。完善柘荣现代医药物流园配套服务，使其具备三个层次能力的集医药商品物流、信息流的汇集地。第一层次是使物流园</w:t>
      </w:r>
      <w:r>
        <w:rPr>
          <w:rFonts w:hint="eastAsia"/>
          <w:color w:val="000000"/>
          <w:sz w:val="30"/>
          <w:szCs w:val="30"/>
        </w:rPr>
        <w:t>区具备区域性药品配送中心功能。扶持引导本地药材</w:t>
      </w:r>
      <w:r>
        <w:rPr>
          <w:rFonts w:hint="eastAsia" w:ascii="仿宋_GB2312" w:hAnsi="仿宋_GB2312" w:cs="仿宋_GB2312"/>
          <w:color w:val="000000"/>
          <w:sz w:val="30"/>
          <w:szCs w:val="30"/>
        </w:rPr>
        <w:t>经营户</w:t>
      </w:r>
      <w:r>
        <w:rPr>
          <w:rFonts w:hint="eastAsia"/>
          <w:color w:val="000000"/>
          <w:sz w:val="30"/>
          <w:szCs w:val="30"/>
        </w:rPr>
        <w:t>、专业户、医药物流企业与国内外知名药业企业在产品购销、道地药材收购等方面的对接，培育壮大</w:t>
      </w:r>
      <w:r>
        <w:rPr>
          <w:rFonts w:hint="eastAsia"/>
          <w:color w:val="000000"/>
          <w:sz w:val="30"/>
          <w:szCs w:val="30"/>
          <w:lang w:val="en-US" w:eastAsia="zh-CN"/>
        </w:rPr>
        <w:t>域内</w:t>
      </w:r>
      <w:r>
        <w:rPr>
          <w:rFonts w:hint="eastAsia"/>
          <w:color w:val="000000"/>
          <w:sz w:val="30"/>
          <w:szCs w:val="30"/>
        </w:rPr>
        <w:t>较大型现代医药物流企业的发展，使其具备独立配送能力，并发挥其地域优势，成为全国超大型物流企业的区域医药物流配送的承接企业，拥有覆盖闽</w:t>
      </w:r>
      <w:r>
        <w:rPr>
          <w:rFonts w:hint="eastAsia" w:ascii="仿宋_GB2312" w:hAnsi="仿宋_GB2312" w:cs="仿宋_GB2312"/>
          <w:color w:val="000000"/>
          <w:sz w:val="30"/>
          <w:szCs w:val="30"/>
        </w:rPr>
        <w:t>东、浙南、闽北区域内国家基本药物目录中药品品种及医疗器械配送能力和辐射其他一些地区的配送能力。第二层次是使物流园区具备部分药品辐射全国的经营能力。利用各种优惠政策，大力招商引资，发展一批在全市、全省、全国市场拥有一批医药商品代理权的总代理、总经销的药品批发经营企业。第三层次是使物流园区具备面向全国的中草药材经营能力。大力拓展物流园区内中草药材交易，最终使其向全国较大的中草药材集散地方向发展。二是加快形成较大的区域中草药材集散地。以太子参带动园区中草药材交易发展，通过宣传引导、政策扶持，依靠市场自我调节，将物流园区发展成为福建省较大规模的中草药材集散地，并努力朝着海西中草</w:t>
      </w:r>
      <w:r>
        <w:rPr>
          <w:rFonts w:hint="eastAsia"/>
          <w:color w:val="000000"/>
          <w:sz w:val="30"/>
          <w:szCs w:val="30"/>
        </w:rPr>
        <w:t>药材专业市场目标迈进，以填补江苏、上海、浙江、福建四个沿海省（市）没有中草药材专业市场的空白，并发挥其连接长江三角洲与闽江流域中草药材种植与销售，饮片加工与经营的纽带和桥梁作用。</w:t>
      </w:r>
      <w:r>
        <w:rPr>
          <w:rFonts w:hint="eastAsia" w:ascii="仿宋_GB2312" w:hAnsi="仿宋_GB2312" w:cs="仿宋_GB2312"/>
          <w:color w:val="000000"/>
          <w:sz w:val="30"/>
          <w:szCs w:val="30"/>
        </w:rPr>
        <w:t>三是积极推广“互联网+中草药材”线上线下营销模式。引导药农、合作社、企业等生产经营主体，利用微博、微信等网络平台以及各类电商平台，进行中草药材线上销售，拓展销售渠道。创建线下实体药店或与知名实体药店联合建立线下实体药店，提高消费者对网购中草药的质量信任，实现线上与线下药店利益共享盈利模式。</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4.推进中草药材品牌体系建设。</w:t>
      </w:r>
      <w:r>
        <w:rPr>
          <w:rFonts w:hint="eastAsia" w:ascii="仿宋_GB2312" w:hAnsi="仿宋_GB2312" w:cs="仿宋_GB2312"/>
          <w:color w:val="000000"/>
          <w:sz w:val="30"/>
          <w:szCs w:val="30"/>
        </w:rPr>
        <w:t>一是建立“道地+绿色”中草药材品牌体系。推动道地药材绿色生产，形成以柘荣太子参、福鼎黄桅子道地中草药材为龙头，以金线莲、淮山、铁皮石斛、</w:t>
      </w:r>
      <w:r>
        <w:rPr>
          <w:rFonts w:hint="eastAsia"/>
          <w:color w:val="000000"/>
          <w:sz w:val="30"/>
          <w:szCs w:val="30"/>
        </w:rPr>
        <w:t>白术、杜仲、厚朴为主体的“道地+绿色”中草药材品牌体系，建立“道地+绿色”中草药材名录，扩大市场影响力；二是推进优势药材品牌升级。积极应对市场竞争，巩固柘荣太子参和福鼎黄桅子在全国市场的老大地位，将柘荣太子参和福鼎黄桅子从药材产品品牌上升为农产品区域公用品牌；三是</w:t>
      </w:r>
      <w:r>
        <w:rPr>
          <w:rFonts w:hint="eastAsia" w:ascii="仿宋_GB2312" w:hAnsi="仿宋_GB2312" w:cs="仿宋_GB2312"/>
          <w:color w:val="000000"/>
          <w:sz w:val="30"/>
          <w:szCs w:val="30"/>
        </w:rPr>
        <w:t>引导产品认定认证。积极引导企业参加驰名商标、省著名商标、省名牌产品的认定，形成自己的产品品牌。推行中草药材生产质量管理规范（GAP）认证、良好农业规范认证、有机产品认证，通过认证的品种数量争取翻番。</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5.加快中草药材技术创新，科技兴药。</w:t>
      </w:r>
      <w:r>
        <w:rPr>
          <w:rFonts w:hint="eastAsia" w:ascii="仿宋_GB2312" w:hAnsi="仿宋_GB2312" w:cs="仿宋_GB2312"/>
          <w:color w:val="000000"/>
          <w:sz w:val="30"/>
          <w:szCs w:val="30"/>
        </w:rPr>
        <w:t>鼓励和</w:t>
      </w:r>
      <w:r>
        <w:rPr>
          <w:rFonts w:hint="eastAsia"/>
          <w:color w:val="000000"/>
          <w:sz w:val="30"/>
          <w:szCs w:val="30"/>
        </w:rPr>
        <w:t>支持有条件的企业开展与省内高校、研究机构、中药企业开展产学研合作，建立科技研发平台或技术协作中心。加强中草药材基础研究与技术创新。支持福安畲医药研究发展中心等研究机构及相关企业，开展中草药材生长发育特性、药效成分形成及其与环境条件的</w:t>
      </w:r>
      <w:r>
        <w:rPr>
          <w:rFonts w:hint="eastAsia" w:ascii="仿宋_GB2312" w:hAnsi="仿宋_GB2312" w:cs="仿宋_GB2312"/>
          <w:color w:val="000000"/>
          <w:sz w:val="30"/>
          <w:szCs w:val="30"/>
        </w:rPr>
        <w:t>关联性</w:t>
      </w:r>
      <w:r>
        <w:rPr>
          <w:rFonts w:hint="eastAsia"/>
          <w:color w:val="000000"/>
          <w:sz w:val="30"/>
          <w:szCs w:val="30"/>
        </w:rPr>
        <w:t>研究，深入分析中草药材道地性成因，完善中草药材生产的基础理论，指导中草药材科学生产；挖掘和继承道地中草药材生产和产地加工技术，结合现代农业生物技术创新提升，形成优质中草药材标准化生产和产地加工技术规范。</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6.以中医药文化为核心，促进三产融合。</w:t>
      </w:r>
      <w:r>
        <w:rPr>
          <w:rFonts w:hint="eastAsia" w:ascii="仿宋_GB2312" w:hAnsi="仿宋_GB2312" w:cs="仿宋_GB2312"/>
          <w:color w:val="000000"/>
          <w:sz w:val="30"/>
          <w:szCs w:val="30"/>
        </w:rPr>
        <w:t>拓展中草药材产业发展空间。鼓励和支持相关机构与专家学者挖掘、整理、传承、保护和发展畲药文化，推动畲药非物质文化遗产保护与发展体系建设。挖掘中药养生文化，加快中草药材休闲养生经济开发，依托林药、中草药材种苗繁育基地、畲药生态园等平台，加快发展森林康养、休闲观光、栽培体验、中药科普等新业态。挖掘闽东药膳文化，制定药膳用法用量等食用标准，加快推进屏南药膳特色小镇项目建设。开发农家乐保健药膳等加快中草药材农产品转化为旅游商品，开展科普旅游、中草药材资源保护、种苗扩繁、中医药养生研究等活动。</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527" w:name="_Toc9916"/>
      <w:bookmarkStart w:id="528" w:name="_Toc16823"/>
      <w:bookmarkStart w:id="529" w:name="_Toc25512"/>
      <w:bookmarkStart w:id="530" w:name="_Toc1921"/>
      <w:bookmarkStart w:id="531" w:name="_Toc5075"/>
      <w:bookmarkStart w:id="532" w:name="_Toc30815"/>
      <w:bookmarkStart w:id="533" w:name="_Toc20803"/>
      <w:bookmarkStart w:id="534" w:name="_Toc32115"/>
      <w:r>
        <w:rPr>
          <w:rFonts w:hint="eastAsia" w:ascii="黑体" w:hAnsi="黑体" w:eastAsia="黑体" w:cs="黑体"/>
          <w:b w:val="0"/>
          <w:bCs/>
          <w:color w:val="000000"/>
          <w:sz w:val="30"/>
          <w:szCs w:val="30"/>
        </w:rPr>
        <w:t>七、畜牧</w:t>
      </w:r>
      <w:bookmarkEnd w:id="527"/>
      <w:bookmarkEnd w:id="528"/>
      <w:bookmarkEnd w:id="529"/>
      <w:bookmarkEnd w:id="530"/>
      <w:bookmarkEnd w:id="531"/>
      <w:bookmarkEnd w:id="532"/>
      <w:bookmarkEnd w:id="533"/>
      <w:bookmarkEnd w:id="534"/>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（一）发展定位</w:t>
      </w:r>
    </w:p>
    <w:p>
      <w:pPr>
        <w:adjustRightInd w:val="0"/>
        <w:snapToGrid w:val="0"/>
        <w:spacing w:line="596" w:lineRule="exact"/>
        <w:ind w:firstLine="600"/>
        <w:rPr>
          <w:color w:val="000000"/>
          <w:sz w:val="30"/>
          <w:szCs w:val="30"/>
        </w:rPr>
      </w:pPr>
      <w:r>
        <w:rPr>
          <w:rFonts w:hint="eastAsia"/>
          <w:color w:val="000000"/>
          <w:sz w:val="30"/>
          <w:szCs w:val="30"/>
        </w:rPr>
        <w:t>立足宁德山区绿色农业资源及现有产业优势，实现生猪养殖稳产保供，拓展生猪全产业链，创建山地精品生猪产业化示范，构建“生猪+草畜禽肉蛋奶”的多元畜牧产品市场供给体系；立足宁德承接江浙、毗邻省会福州的市场区位优势，搭载铁路、公路、水路三路通畅的便捷交通，以空间换时间，以时间换市场，以科技作支撑，以安全促消费，提高产出外向度。坚持“规模化、标准化、产业化、信息化、绿色化”五化并重，逐步建立优质、生态、高效、循环的山地资源型现代畜牧业生产体系，力争培育形成具有闽东特色的“山地型生态畜牧业”。</w:t>
      </w:r>
    </w:p>
    <w:p>
      <w:pPr>
        <w:adjustRightInd w:val="0"/>
        <w:snapToGrid w:val="0"/>
        <w:spacing w:line="596" w:lineRule="exact"/>
        <w:ind w:firstLine="602"/>
        <w:rPr>
          <w:b/>
          <w:bCs/>
          <w:color w:val="000000"/>
          <w:sz w:val="30"/>
          <w:szCs w:val="30"/>
        </w:rPr>
      </w:pPr>
      <w:r>
        <w:rPr>
          <w:rFonts w:hint="eastAsia" w:ascii="楷体_GB2312" w:hAnsi="楷体_GB2312" w:eastAsia="楷体_GB2312" w:cs="楷体_GB2312"/>
          <w:b/>
          <w:bCs/>
          <w:color w:val="000000"/>
          <w:sz w:val="30"/>
          <w:szCs w:val="30"/>
        </w:rPr>
        <w:t>（二）发展目标</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十四五”期间，力争实现畜牧业全产业链增值全面提高，稳定一产，强化二产，扩展三产。到2025年，全市畜牧全产业链产值达99亿元，年均增长8.20 %，比2020年增长32.25亿元。畜牧产品供给稳定增长，畜牧产业生产结构进一步优化，规模化、标准化养殖水平稳步提高，产业化程度不断增强，科技水平进一步提高，畜产品质量安全水平增强。</w:t>
      </w:r>
    </w:p>
    <w:p>
      <w:pPr>
        <w:adjustRightInd w:val="0"/>
        <w:snapToGrid w:val="0"/>
        <w:spacing w:line="596" w:lineRule="exact"/>
        <w:ind w:firstLine="602"/>
        <w:rPr>
          <w:b/>
          <w:bCs/>
          <w:color w:val="000000"/>
          <w:sz w:val="30"/>
          <w:szCs w:val="30"/>
        </w:rPr>
      </w:pPr>
      <w:r>
        <w:rPr>
          <w:rFonts w:hint="eastAsia" w:ascii="楷体_GB2312" w:hAnsi="楷体_GB2312" w:eastAsia="楷体_GB2312" w:cs="楷体_GB2312"/>
          <w:b/>
          <w:bCs/>
          <w:color w:val="000000"/>
          <w:sz w:val="30"/>
          <w:szCs w:val="30"/>
        </w:rPr>
        <w:t>（三）规划布局</w:t>
      </w:r>
    </w:p>
    <w:p>
      <w:pPr>
        <w:adjustRightInd w:val="0"/>
        <w:snapToGrid w:val="0"/>
        <w:spacing w:line="596" w:lineRule="exact"/>
        <w:ind w:firstLine="600"/>
        <w:rPr>
          <w:color w:val="000000"/>
          <w:sz w:val="30"/>
          <w:szCs w:val="30"/>
        </w:rPr>
      </w:pPr>
      <w:r>
        <w:rPr>
          <w:rFonts w:hint="eastAsia"/>
          <w:color w:val="000000"/>
          <w:sz w:val="30"/>
          <w:szCs w:val="30"/>
        </w:rPr>
        <w:t>按照“保障生猪有效供给，做强家禽产业，加快牛羊兔发展”的工作举措，加快畜牧养殖结构调整，形成“两区三带”的发展格局。</w:t>
      </w:r>
    </w:p>
    <w:p>
      <w:pPr>
        <w:adjustRightInd w:val="0"/>
        <w:snapToGrid w:val="0"/>
        <w:spacing w:line="596" w:lineRule="exact"/>
        <w:ind w:firstLine="600"/>
        <w:rPr>
          <w:color w:val="000000"/>
          <w:sz w:val="30"/>
          <w:szCs w:val="30"/>
        </w:rPr>
      </w:pPr>
      <w:r>
        <w:rPr>
          <w:rFonts w:hint="eastAsia"/>
          <w:color w:val="000000"/>
          <w:sz w:val="30"/>
          <w:szCs w:val="30"/>
        </w:rPr>
        <w:t>两区：以古田、屏南、周宁、寿宁、柘荣、霞浦为主的生猪生产保障供给区；以蕉城、福安、福鼎为主的生猪产业优先发展规划区。</w:t>
      </w:r>
    </w:p>
    <w:p>
      <w:pPr>
        <w:adjustRightInd w:val="0"/>
        <w:snapToGrid w:val="0"/>
        <w:spacing w:line="596" w:lineRule="exact"/>
        <w:ind w:firstLine="600"/>
        <w:rPr>
          <w:color w:val="000000"/>
          <w:sz w:val="30"/>
          <w:szCs w:val="30"/>
        </w:rPr>
      </w:pPr>
      <w:r>
        <w:rPr>
          <w:rFonts w:hint="eastAsia"/>
          <w:color w:val="000000"/>
          <w:sz w:val="30"/>
          <w:szCs w:val="30"/>
        </w:rPr>
        <w:t>三带：寿宁、周宁、屏南、柘荣及福安上半区的草食节粮型畜禽生产优先发展规划带；蕉城、古田、霞浦、福鼎及福安下半区的禽蛋生产优先发展规划带；宁德中部区域（含周宁、屏南、福安、蕉城、霞浦等部分区域）的特色养殖业优先发展规划带。</w:t>
      </w:r>
    </w:p>
    <w:p>
      <w:pPr>
        <w:adjustRightInd w:val="0"/>
        <w:snapToGrid w:val="0"/>
        <w:spacing w:line="596" w:lineRule="exact"/>
        <w:ind w:firstLine="602"/>
        <w:rPr>
          <w:rFonts w:eastAsia="仿宋"/>
          <w:b/>
          <w:bCs/>
          <w:color w:val="000000"/>
          <w:sz w:val="30"/>
          <w:szCs w:val="30"/>
        </w:rPr>
      </w:pPr>
      <w:r>
        <w:rPr>
          <w:rFonts w:hint="eastAsia" w:ascii="楷体_GB2312" w:hAnsi="楷体_GB2312" w:eastAsia="楷体_GB2312" w:cs="楷体_GB2312"/>
          <w:b/>
          <w:bCs/>
          <w:color w:val="000000"/>
          <w:sz w:val="30"/>
          <w:szCs w:val="30"/>
        </w:rPr>
        <w:t>（四）发展措施</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1.加</w:t>
      </w:r>
      <w:r>
        <w:rPr>
          <w:rFonts w:hint="eastAsia"/>
          <w:b/>
          <w:bCs/>
          <w:color w:val="000000"/>
          <w:sz w:val="30"/>
          <w:szCs w:val="30"/>
        </w:rPr>
        <w:t>快畜牧业内部结构调整。</w:t>
      </w:r>
      <w:r>
        <w:rPr>
          <w:rFonts w:hint="eastAsia"/>
          <w:color w:val="000000"/>
          <w:sz w:val="30"/>
          <w:szCs w:val="30"/>
        </w:rPr>
        <w:t>一是按照“合理调整生猪养殖总量，做强家禽产业，加快草食畜牧业发展”的总体要求，优化畜牧业生产布局和生产结构。严格新建猪场准入门槛，严控生猪养殖总量，实施《全国生猪遗传改良计划》，逐步推进遗传改良计划，不断提高种猪质量及猪肉产品质量安全水平。加快推进规模化标准养殖，促进产业提质增效。二是家禽产业发展上，立足产业基础和地方特色，重点发展白羽肉鸡、黄羽优质肉鸡、古田黑番鸭、设施蛋鸡和设施水禽，建设一批现代设施家禽标准化养殖基地，转变养殖模式，做强家禽产业；三是在草食动物产业发展上，立足资源禀赋，利用草山草坡和抛荒山垄田种草，扩大地方特色牛羊兔生产，重点培育闽</w:t>
      </w:r>
      <w:r>
        <w:rPr>
          <w:rFonts w:hint="eastAsia" w:ascii="仿宋_GB2312" w:hAnsi="仿宋_GB2312" w:cs="仿宋_GB2312"/>
          <w:color w:val="000000"/>
          <w:sz w:val="30"/>
          <w:szCs w:val="30"/>
        </w:rPr>
        <w:t>东山羊、福安水牛等地方品种，提升草食动物肉类比重。加大奶业培育，加强奶牛、奶羊生产基地建设，培育规划建设1-2个（奶）牛/羊生产基地，使全市奶类产量有较大幅度的增长。</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2.大力推进标准化规模养殖。</w:t>
      </w:r>
      <w:r>
        <w:rPr>
          <w:rFonts w:hint="eastAsia" w:ascii="仿宋_GB2312" w:hAnsi="仿宋_GB2312" w:cs="仿宋_GB2312"/>
          <w:color w:val="000000"/>
          <w:sz w:val="30"/>
          <w:szCs w:val="30"/>
        </w:rPr>
        <w:t>按照“合理调整生猪养殖总量”为目标，加快发展标准化规模养殖，推动畜牧业发展方式转变。以畜牧养殖示范基地建设为重点，坚持标准化规模养殖和适度规模养殖同步推进，发挥市场调节、项目推动、规范管理和环境整治等多重作用，打造优势畜产品生产基地。</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3.加强畜牧良种繁育体系建设。</w:t>
      </w:r>
      <w:r>
        <w:rPr>
          <w:rFonts w:hint="eastAsia" w:ascii="仿宋_GB2312" w:hAnsi="仿宋_GB2312" w:cs="仿宋_GB2312"/>
          <w:color w:val="000000"/>
          <w:sz w:val="30"/>
          <w:szCs w:val="30"/>
        </w:rPr>
        <w:t>畜牧良种繁育体系建设按照“严控生猪养殖总量，做强家禽产业，加快牛羊兔发展”结构调整思路，通过实施畜牧良种工程</w:t>
      </w:r>
      <w:r>
        <w:rPr>
          <w:rFonts w:hint="eastAsia"/>
          <w:color w:val="000000"/>
          <w:sz w:val="30"/>
          <w:szCs w:val="30"/>
        </w:rPr>
        <w:t>和良种项目，扩大畜牧良种核心群规模，提高良种供应能力。围绕提高资源保护能力、品种创新能力、良种繁育能力，逐步建立健全布局合理、层次分明、监管有效的良种繁育体系。</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4.切实加强畜产品质量安全监管。</w:t>
      </w:r>
      <w:r>
        <w:rPr>
          <w:rFonts w:hint="eastAsia" w:ascii="仿宋_GB2312" w:hAnsi="仿宋_GB2312" w:cs="仿宋_GB2312"/>
          <w:color w:val="000000"/>
          <w:sz w:val="30"/>
          <w:szCs w:val="30"/>
        </w:rPr>
        <w:t>组织实施动物卫生风险智能管控工程，强化监管体系和保障能力建设，建立畜产品质量安全信息化监管平台，完善网格化管理，提升质量安全监管能力和水平。按照“产出来”“管出来”和“</w:t>
      </w:r>
      <w:r>
        <w:rPr>
          <w:rFonts w:hint="eastAsia"/>
          <w:color w:val="000000"/>
          <w:sz w:val="30"/>
          <w:szCs w:val="30"/>
        </w:rPr>
        <w:t>四个最严”的要求，强化质量安全主体责任落实，推进标准化生产，规范兽药、饲料等畜牧投入品使用，突出专项治理和监督执法，加强监测抽检和风险评估；规范畜禽屠宰活动，完善病死（害）畜禽集中无害化处理工作流程与管理制度，建立无害化处理与保险联动机制，加强生鲜乳质量安全监管，强化执法检查和案件查办，加强行刑衔接，严厉打击违法违规行为，努力消除重大风险隐患。加强市级畜禽屠宰肉品检测实验室建设，实施屠宰厂肉品品质检验室、无害化处理设施、检验监督实验室、视频监控产品追溯系统改造等标准化示范创建工程。改造奶畜养殖重点县奶站实验室，配备检测设备，提高奶站检测能力；建设县级奶站监控信息平台，提高生鲜乳质量监管能力。加强市级兽药质量监测体系建设，实施大中</w:t>
      </w:r>
      <w:r>
        <w:rPr>
          <w:rFonts w:hint="eastAsia" w:ascii="仿宋_GB2312" w:hAnsi="仿宋_GB2312" w:cs="仿宋_GB2312"/>
          <w:color w:val="000000"/>
          <w:sz w:val="30"/>
          <w:szCs w:val="30"/>
        </w:rPr>
        <w:t>型兽药生产企业质量控制技术改造升级，加快兽药产品二维码和兽药GSP监管网络建设，构建兽药质量追溯系统。建立健全饲料质量安全检测系统，提升饲料质量检测能力。</w:t>
      </w:r>
    </w:p>
    <w:p>
      <w:pPr>
        <w:adjustRightInd w:val="0"/>
        <w:snapToGrid w:val="0"/>
        <w:spacing w:line="596" w:lineRule="exact"/>
        <w:ind w:firstLine="600"/>
        <w:rPr>
          <w:color w:val="000000"/>
          <w:sz w:val="30"/>
          <w:szCs w:val="30"/>
        </w:rPr>
      </w:pPr>
      <w:r>
        <w:rPr>
          <w:rFonts w:hint="eastAsia" w:ascii="仿宋_GB2312" w:hAnsi="仿宋_GB2312" w:cs="仿宋_GB2312"/>
          <w:b/>
          <w:bCs/>
          <w:color w:val="000000"/>
          <w:sz w:val="30"/>
          <w:szCs w:val="30"/>
        </w:rPr>
        <w:t>5.合理安排扩大饲草料种植。</w:t>
      </w:r>
      <w:r>
        <w:rPr>
          <w:rFonts w:hint="eastAsia" w:ascii="仿宋_GB2312" w:hAnsi="仿宋_GB2312" w:cs="仿宋_GB2312"/>
          <w:color w:val="000000"/>
          <w:sz w:val="30"/>
          <w:szCs w:val="30"/>
        </w:rPr>
        <w:t>一是坚持走种养结合的生态循环畜牧业发展路子。积极推行“生态养殖+沼气+绿色种植”和“粮、经、饲”三元种植模式；积极推进粮改饲试点，扩大专业饲料作物种植面积，促进种植业结构调整。二是建立饲草生产基地。按照农业部《草畜平衡管理办法》的规定和要求，鼓励养殖场（户）建立“粮（食）+经（作）+饲（草）”三元结构种植制度和人工草地，促进“以农养牧，以牧促农”种养有机结合良性循环。建立</w:t>
      </w:r>
      <w:r>
        <w:rPr>
          <w:rFonts w:hint="eastAsia"/>
          <w:color w:val="000000"/>
          <w:sz w:val="30"/>
          <w:szCs w:val="30"/>
        </w:rPr>
        <w:t>资源综合利用的循环发展模式，促进农牧协调发展。三是全面推广集成配套技术。如牧草新品种及其栽培技术、“粮草轮作”和“禾豆科套（间）种”种植技术、农作物秸秆及牧草青贮与氨化加工技术、非蛋白氮饲料综合配套技术、全混合日粮饲喂技术和开发利用草食动物配合饲料产品等。四是支持发展专业合作社、饲草料加工配送中心，构建专业化的优质饲草料生产、加工体系。鼓励开展商品草种植，培育饲草交易市场和中介组织。</w:t>
      </w:r>
    </w:p>
    <w:p>
      <w:pPr>
        <w:adjustRightInd w:val="0"/>
        <w:snapToGrid w:val="0"/>
        <w:spacing w:line="596" w:lineRule="exact"/>
        <w:ind w:firstLine="600"/>
        <w:rPr>
          <w:sz w:val="30"/>
          <w:szCs w:val="30"/>
        </w:rPr>
      </w:pPr>
      <w:r>
        <w:rPr>
          <w:rFonts w:hint="eastAsia" w:ascii="仿宋_GB2312" w:hAnsi="仿宋_GB2312" w:cs="仿宋_GB2312"/>
          <w:b/>
          <w:bCs/>
          <w:color w:val="000000"/>
          <w:sz w:val="30"/>
          <w:szCs w:val="30"/>
        </w:rPr>
        <w:t>6.提高畜牧业产业化水平，促进新业态经营。</w:t>
      </w:r>
      <w:r>
        <w:rPr>
          <w:rFonts w:hint="eastAsia" w:ascii="仿宋_GB2312" w:hAnsi="仿宋_GB2312" w:cs="仿宋_GB2312"/>
          <w:color w:val="000000"/>
          <w:sz w:val="30"/>
          <w:szCs w:val="30"/>
        </w:rPr>
        <w:t>一是品牌强化。鼓励规模养殖场、龙头企业和专业合作社争创“宁德市名牌产品”，大力开展畜产品品牌宣传推介，积极推进畜产品包装标识上市，保证品牌质量和信誉，逐步打响市场知名度，不断扩大市场占有率，实现品牌化经营目标。二是链条延伸。把畜牧产业发展的重点逐步向畜产品加工增值延伸，引进先进技术、设备和人才，大力发展畜产品精深加工。推进屠宰行业品牌战略，鼓励屠宰加工企业向产业上下游延伸发展，引导支持生猪屠宰企业标准化改造，减少收费代宰比例，发展自营批发和冷链配送销售服务，延长产业链条，提高畜产品附加值，实现全产业链经营，培育农民增收新空间。三是组织化建设。积极引导畜牧重点村镇、养殖小区建立专业合作社组织，深入开展市级示范社创建工作，不断提升合作社综合服务能力，支持合作社参加畜产品展示展销活动，培育合作社知名品牌。有计划的建设畜产品交易中心市场，在省内外重点城市设立宁</w:t>
      </w:r>
      <w:r>
        <w:rPr>
          <w:rFonts w:hint="eastAsia"/>
          <w:color w:val="000000"/>
          <w:sz w:val="30"/>
          <w:szCs w:val="30"/>
        </w:rPr>
        <w:t>德畜牧特色产品销售窗口或专营店，完善活畜活禽及畜产品交易体系。四是产业融合。大力发展畜牧合作经济组织，支持发展直销、配送、电子商务等畜产品流通业态，重点围绕生猪等特色产业，选择具备产业竞争力、消费区域优势和旅游休闲条件的主产区，建设特色畜牧业集聚区。以大型龙头企业和特色畜牧业原产地为基础，以“融合发展”为主攻方向，培大育强畜牧业新型生产经营主体，突出发展全产业链经营，推进“互联网＋畜牧业”，拓展畜牧业休闲娱乐、文化传承、观光体验功能，发展涉牧“第六产业”。引领畜牧业品牌培育与产业升级，让养殖场户更多分享产业链增值收益。</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535" w:name="_Toc7421"/>
      <w:bookmarkStart w:id="536" w:name="_Toc8011"/>
      <w:bookmarkStart w:id="537" w:name="_Toc21472"/>
      <w:bookmarkStart w:id="538" w:name="_Toc22878"/>
      <w:bookmarkStart w:id="539" w:name="_Toc14803"/>
      <w:bookmarkStart w:id="540" w:name="_Toc8223"/>
      <w:bookmarkStart w:id="541" w:name="_Toc30491"/>
      <w:bookmarkStart w:id="542" w:name="_Toc1088"/>
      <w:bookmarkStart w:id="543" w:name="_Toc25014"/>
      <w:bookmarkStart w:id="544" w:name="_Toc30326"/>
      <w:bookmarkStart w:id="545" w:name="_Toc7337"/>
      <w:r>
        <w:rPr>
          <w:rFonts w:hint="eastAsia" w:ascii="黑体" w:hAnsi="黑体" w:eastAsia="黑体" w:cs="黑体"/>
          <w:b w:val="0"/>
          <w:bCs/>
          <w:color w:val="000000"/>
          <w:sz w:val="30"/>
          <w:szCs w:val="30"/>
        </w:rPr>
        <w:t>八、林竹花卉</w:t>
      </w:r>
      <w:bookmarkEnd w:id="535"/>
      <w:bookmarkEnd w:id="536"/>
      <w:bookmarkEnd w:id="537"/>
      <w:bookmarkEnd w:id="538"/>
      <w:bookmarkEnd w:id="539"/>
      <w:bookmarkEnd w:id="540"/>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（一）发展定位</w:t>
      </w:r>
    </w:p>
    <w:p>
      <w:pPr>
        <w:adjustRightInd w:val="0"/>
        <w:snapToGrid w:val="0"/>
        <w:spacing w:line="596" w:lineRule="exact"/>
        <w:ind w:firstLine="600"/>
        <w:rPr>
          <w:rFonts w:ascii="仿宋_GB2312" w:hAnsi="仿宋_GB2312" w:cs="仿宋_GB2312"/>
          <w:sz w:val="30"/>
          <w:szCs w:val="30"/>
        </w:rPr>
      </w:pPr>
      <w:r>
        <w:rPr>
          <w:rFonts w:hint="eastAsia" w:ascii="仿宋_GB2312" w:hAnsi="仿宋_GB2312" w:cs="仿宋_GB2312"/>
          <w:sz w:val="30"/>
          <w:szCs w:val="30"/>
        </w:rPr>
        <w:t>以屏南、周宁和霞浦等为中心的花卉产业，屏南、古田和福安为中心的竹业产业，蕉城、屏南、福鼎和柘荣为中心的林下经济产业，福安、寿宁和柘荣为中心的木本油料产业为依托，打造一批特色鲜明、带动力强的示范基地，辐射带动全市林竹花卉产业发展。</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（二）发展目标</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到2025年，全市林业全产业链总产值达560亿元以上，其中竹业全产业链总产值达30亿元以上。</w:t>
      </w:r>
      <w:r>
        <w:rPr>
          <w:rFonts w:hint="eastAsia" w:ascii="仿宋_GB2312" w:hAnsi="仿宋_GB2312" w:cs="仿宋_GB2312"/>
          <w:color w:val="000000"/>
          <w:sz w:val="30"/>
          <w:szCs w:val="30"/>
          <w:lang w:val="zh-CN"/>
        </w:rPr>
        <w:t>花卉苗木全产业链总产值达</w:t>
      </w:r>
      <w:r>
        <w:rPr>
          <w:rFonts w:hint="eastAsia" w:ascii="仿宋_GB2312" w:hAnsi="仿宋_GB2312" w:cs="仿宋_GB2312"/>
          <w:color w:val="000000"/>
          <w:sz w:val="30"/>
          <w:szCs w:val="30"/>
        </w:rPr>
        <w:t>35.8</w:t>
      </w:r>
      <w:r>
        <w:rPr>
          <w:rFonts w:hint="eastAsia" w:ascii="仿宋_GB2312" w:hAnsi="仿宋_GB2312" w:cs="仿宋_GB2312"/>
          <w:color w:val="000000"/>
          <w:sz w:val="30"/>
          <w:szCs w:val="30"/>
          <w:lang w:val="zh-CN"/>
        </w:rPr>
        <w:t>亿元</w:t>
      </w:r>
      <w:r>
        <w:rPr>
          <w:rFonts w:hint="eastAsia" w:ascii="仿宋_GB2312" w:hAnsi="仿宋_GB2312" w:cs="仿宋_GB2312"/>
          <w:color w:val="000000"/>
          <w:sz w:val="30"/>
          <w:szCs w:val="30"/>
        </w:rPr>
        <w:t>以上</w:t>
      </w:r>
      <w:r>
        <w:rPr>
          <w:rFonts w:hint="eastAsia" w:ascii="仿宋_GB2312" w:hAnsi="仿宋_GB2312" w:cs="仿宋_GB2312"/>
          <w:color w:val="000000"/>
          <w:sz w:val="30"/>
          <w:szCs w:val="30"/>
          <w:lang w:val="zh-CN"/>
        </w:rPr>
        <w:t>。</w:t>
      </w:r>
      <w:r>
        <w:rPr>
          <w:rFonts w:hint="eastAsia" w:ascii="仿宋_GB2312" w:hAnsi="仿宋_GB2312" w:cs="仿宋_GB2312"/>
          <w:color w:val="000000"/>
          <w:sz w:val="30"/>
          <w:szCs w:val="30"/>
        </w:rPr>
        <w:t>将林竹花卉产业打造成为农业增效、农民增收、服务三产、综合效益显著的现代多功能优势产业。</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（三）规划布局</w:t>
      </w:r>
    </w:p>
    <w:p>
      <w:pPr>
        <w:adjustRightInd w:val="0"/>
        <w:snapToGrid w:val="0"/>
        <w:spacing w:line="596" w:lineRule="exact"/>
        <w:ind w:firstLine="600"/>
        <w:rPr>
          <w:rFonts w:ascii="仿宋_GB2312" w:hAnsi="仿宋_GB2312" w:cs="仿宋_GB2312"/>
          <w:sz w:val="30"/>
          <w:szCs w:val="30"/>
        </w:rPr>
      </w:pPr>
      <w:r>
        <w:rPr>
          <w:rFonts w:hint="eastAsia" w:ascii="仿宋_GB2312" w:hAnsi="仿宋_GB2312" w:cs="仿宋_GB2312"/>
          <w:sz w:val="30"/>
          <w:szCs w:val="30"/>
        </w:rPr>
        <w:t>实施项目带动、龙头带动、品牌带动，强化科技创新引领，推进一二三产业融合，努力推动林业产业高质量发展，助力乡村振兴。</w:t>
      </w:r>
    </w:p>
    <w:p>
      <w:pPr>
        <w:adjustRightInd w:val="0"/>
        <w:snapToGrid w:val="0"/>
        <w:spacing w:line="596" w:lineRule="exact"/>
        <w:ind w:firstLine="602"/>
        <w:rPr>
          <w:rFonts w:ascii="仿宋_GB2312" w:hAnsi="仿宋_GB2312" w:cs="仿宋_GB2312"/>
          <w:b/>
          <w:bCs/>
          <w:sz w:val="30"/>
          <w:szCs w:val="30"/>
        </w:rPr>
      </w:pPr>
      <w:r>
        <w:rPr>
          <w:rFonts w:ascii="仿宋_GB2312" w:hAnsi="仿宋_GB2312" w:cs="仿宋_GB2312"/>
          <w:b/>
          <w:bCs/>
          <w:sz w:val="30"/>
          <w:szCs w:val="30"/>
        </w:rPr>
        <w:t>1.花卉苗木产业。</w:t>
      </w:r>
      <w:r>
        <w:rPr>
          <w:rFonts w:hint="eastAsia" w:ascii="仿宋_GB2312" w:hAnsi="仿宋_GB2312" w:cs="仿宋_GB2312"/>
          <w:sz w:val="30"/>
          <w:szCs w:val="30"/>
        </w:rPr>
        <w:t>立足区位优势，坚持差异化发展，以设施花卉苗木示范基地建设为抓手，重点推进屏南、周宁等县发展高山冷凉花卉，做强做大做优文心兰、大花蕙兰、多肉植物等特色优势花卉产业。按照高位嫁接、高质量发展思路，加强与云南省农科院等科研院校合作，加强科技支撑，加大新品种、新科技研发推广，大力发展适销对路的鲜切花、盆栽植物和食用药用工业用花卉，创建一批拥有花卉苗木新品种、新技术、新工艺自主知识产权的龙头企业。创新发展模式，强化政策保障，加大品牌宣传，加强产业合作，着力构建屏南棠口花卉产业园、周宁浦源特色花卉小镇、霞浦盆景园等，努力打造具有闽东特色的高山冷凉花卉产业新格局。推进国家级柳杉和省级油茶重点林木良种基地、省级保障性苗圃建设，推动速生乡土珍贵阔叶树种苗木定向培育，确保松林改造苗木乡土化、珍贵化、良种化。加大力量开展林木种苗质量监管，严厉打击制售假劣种苗等违法行为。</w:t>
      </w:r>
    </w:p>
    <w:p>
      <w:pPr>
        <w:adjustRightInd w:val="0"/>
        <w:snapToGrid w:val="0"/>
        <w:spacing w:line="596" w:lineRule="exact"/>
        <w:ind w:firstLine="602"/>
        <w:rPr>
          <w:rFonts w:ascii="仿宋_GB2312" w:hAnsi="仿宋_GB2312" w:cs="仿宋_GB2312"/>
          <w:sz w:val="30"/>
          <w:szCs w:val="30"/>
        </w:rPr>
      </w:pPr>
      <w:r>
        <w:rPr>
          <w:rFonts w:ascii="仿宋_GB2312" w:hAnsi="仿宋_GB2312" w:cs="仿宋_GB2312"/>
          <w:b/>
          <w:bCs/>
          <w:sz w:val="30"/>
          <w:szCs w:val="30"/>
        </w:rPr>
        <w:t>2.林下经济产业。</w:t>
      </w:r>
      <w:r>
        <w:rPr>
          <w:rFonts w:hint="eastAsia" w:ascii="仿宋_GB2312" w:hAnsi="仿宋_GB2312" w:cs="仿宋_GB2312"/>
          <w:sz w:val="30"/>
          <w:szCs w:val="30"/>
        </w:rPr>
        <w:t>在保障森林生态系统质量前提下，紧密结合市场需求，按照“一县一品”要求发展特色产业，积极探索林果、林药、林菌、林苗、林花、林下养殖等多种森林复合经营模式，科学有序发展林下经济产业。加强优良林下种植和养殖品种选优推广，推动普及林下种植、养殖和采集技术标准和规范，积极开展林下经济特色产品推介、营销和宣传活动，打造核心产品和知名特色区域品牌，提升产品竞争力，促进农民增收。充分发挥闽东绿色油库传统优势，大力推广高产优质油茶种苗和先进适用种植技术，加快建设油茶产业发展。充分挖掘现有油茶林生产潜力，大力推进低质低效林提质增效，提高油茶单产水平。</w:t>
      </w:r>
    </w:p>
    <w:p>
      <w:pPr>
        <w:adjustRightInd w:val="0"/>
        <w:snapToGrid w:val="0"/>
        <w:spacing w:line="596" w:lineRule="exact"/>
        <w:ind w:firstLine="602"/>
        <w:rPr>
          <w:rFonts w:hint="eastAsia" w:ascii="仿宋_GB2312" w:hAnsi="仿宋_GB2312" w:cs="仿宋_GB2312"/>
          <w:b w:val="0"/>
          <w:bCs w:val="0"/>
          <w:sz w:val="30"/>
          <w:szCs w:val="30"/>
        </w:rPr>
      </w:pPr>
      <w:r>
        <w:rPr>
          <w:rFonts w:ascii="仿宋_GB2312" w:hAnsi="仿宋_GB2312" w:cs="仿宋_GB2312"/>
          <w:b/>
          <w:bCs/>
          <w:sz w:val="30"/>
          <w:szCs w:val="30"/>
        </w:rPr>
        <w:t>3.</w:t>
      </w:r>
      <w:r>
        <w:rPr>
          <w:rFonts w:hint="eastAsia" w:ascii="仿宋_GB2312" w:hAnsi="仿宋_GB2312" w:cs="仿宋_GB2312"/>
          <w:b/>
          <w:bCs/>
          <w:sz w:val="30"/>
          <w:szCs w:val="30"/>
        </w:rPr>
        <w:t>森林旅游产业。</w:t>
      </w:r>
      <w:r>
        <w:rPr>
          <w:rFonts w:hint="eastAsia" w:ascii="仿宋_GB2312" w:hAnsi="仿宋_GB2312" w:cs="仿宋_GB2312"/>
          <w:b w:val="0"/>
          <w:bCs w:val="0"/>
          <w:sz w:val="30"/>
          <w:szCs w:val="30"/>
        </w:rPr>
        <w:t>充分发挥良好的森林资源、特色产业和森林文化等优势，融合“森林+旅游”等发展模式，鼓励和引导社会资本参与，加快发展森林康养、山地运动、亲水休闲养生、湿地生态教育等多类型森林生态旅游，推动“产业+旅游”“行业+旅游”新业态发展。以森林、草场、湿地资源自然风光和红色文化基地相结合的屏南仙山牧场、以森林和湿地资源自然景观与野生动植物保护与一体科教基地的周宁仙风山省级森林公园为模板，培育一批环境优美、特色鲜明的森林康养基地。推广寿宁下党村“党建+旅游”、福鼎赤溪小康村人文生态特色旅游，周宁后洋村林业生态文明学习实践基地等模式，大力发展红色旅游，带动老区经济发展，助力乡村振兴。实施“百园千道”生态产品共享工程、国有林场“一场一景”建设，满足人民对高品质、多样化生态产品需求。</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（四）发展措施</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1.竹业。</w:t>
      </w:r>
      <w:r>
        <w:rPr>
          <w:rFonts w:hint="eastAsia" w:ascii="仿宋_GB2312" w:hAnsi="仿宋_GB2312" w:cs="仿宋_GB2312"/>
          <w:color w:val="000000"/>
          <w:sz w:val="30"/>
          <w:szCs w:val="30"/>
        </w:rPr>
        <w:t>完善竹山基础设施建设，推广笋竹培育新技术，抓好丰产竹林基地建设。通过政策引导、品牌创建、龙头企业带动、园区建设，抓好笋、竹精深加工，推进竹业一二三产业融合发展。到</w:t>
      </w:r>
      <w:r>
        <w:rPr>
          <w:rFonts w:hint="eastAsia" w:ascii="仿宋_GB2312" w:hAnsi="仿宋_GB2312" w:cs="仿宋_GB2312"/>
          <w:color w:val="000000"/>
          <w:sz w:val="30"/>
          <w:szCs w:val="30"/>
          <w:lang w:val="zh-CN"/>
        </w:rPr>
        <w:t>2025年，新建丰产竹林</w:t>
      </w:r>
      <w:r>
        <w:rPr>
          <w:rFonts w:hint="eastAsia" w:ascii="仿宋_GB2312" w:hAnsi="仿宋_GB2312" w:cs="仿宋_GB2312"/>
          <w:color w:val="000000"/>
          <w:sz w:val="30"/>
          <w:szCs w:val="30"/>
        </w:rPr>
        <w:t>5万亩</w:t>
      </w:r>
      <w:r>
        <w:rPr>
          <w:rFonts w:hint="eastAsia" w:ascii="仿宋_GB2312" w:hAnsi="仿宋_GB2312" w:cs="仿宋_GB2312"/>
          <w:color w:val="000000"/>
          <w:sz w:val="30"/>
          <w:szCs w:val="30"/>
          <w:lang w:val="zh-CN"/>
        </w:rPr>
        <w:t>，开设竹山便道</w:t>
      </w:r>
      <w:r>
        <w:rPr>
          <w:rFonts w:hint="eastAsia" w:ascii="仿宋_GB2312" w:hAnsi="仿宋_GB2312" w:cs="仿宋_GB2312"/>
          <w:color w:val="000000"/>
          <w:sz w:val="30"/>
          <w:szCs w:val="30"/>
        </w:rPr>
        <w:t>150</w:t>
      </w:r>
      <w:r>
        <w:rPr>
          <w:rFonts w:hint="eastAsia" w:ascii="仿宋_GB2312" w:hAnsi="仿宋_GB2312" w:cs="仿宋_GB2312"/>
          <w:color w:val="000000"/>
          <w:sz w:val="30"/>
          <w:szCs w:val="30"/>
          <w:lang w:val="zh-CN"/>
        </w:rPr>
        <w:t>公里。</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2.花卉苗木。</w:t>
      </w:r>
      <w:r>
        <w:rPr>
          <w:rFonts w:hint="eastAsia" w:ascii="仿宋_GB2312" w:hAnsi="仿宋_GB2312" w:cs="仿宋_GB2312"/>
          <w:color w:val="000000"/>
          <w:sz w:val="30"/>
          <w:szCs w:val="30"/>
        </w:rPr>
        <w:t>继续扶持高山冷凉花卉产业发展，支持发展花卉精深加工，着力构建花卉苗木特色小镇和示范基地，做强做大做优特色优势花卉苗木产业。强化科技支撑，实现我市主打产品文心兰、大花蕙兰、多肉植物研发水平与种植规模更上一个新台阶，并打造具有全国领先科技含量的花卉品牌，力争我市一些科技含量较高的花卉企业能够率先入驻云南国际花卉技术创新中心，特色花卉入驻斗南等国内重大花卉交易市场和平台。到2025年，实施省级财政花卉产业发展项目15个，建设温室大棚10万平方米。同时，推进屏南县棠口高山花卉产业园建设。</w:t>
      </w:r>
    </w:p>
    <w:p>
      <w:pPr>
        <w:adjustRightInd w:val="0"/>
        <w:snapToGrid w:val="0"/>
        <w:spacing w:line="596" w:lineRule="exact"/>
        <w:ind w:firstLine="602"/>
        <w:rPr>
          <w:rFonts w:ascii="仿宋_GB2312" w:hAnsi="仿宋_GB2312" w:cs="仿宋_GB2312"/>
          <w:sz w:val="30"/>
          <w:szCs w:val="30"/>
        </w:rPr>
      </w:pPr>
      <w:r>
        <w:rPr>
          <w:rFonts w:hint="eastAsia" w:ascii="仿宋_GB2312" w:hAnsi="仿宋_GB2312" w:cs="仿宋_GB2312"/>
          <w:b/>
          <w:bCs/>
          <w:color w:val="000000"/>
          <w:sz w:val="30"/>
          <w:szCs w:val="30"/>
        </w:rPr>
        <w:t>3.林下经济及生态旅游。</w:t>
      </w:r>
      <w:r>
        <w:rPr>
          <w:rFonts w:hint="eastAsia"/>
          <w:color w:val="000000"/>
          <w:sz w:val="30"/>
          <w:szCs w:val="30"/>
        </w:rPr>
        <w:t>以项目为抓手，积极培育林业专业合作社、家庭林场等新型林业经营主体，推进省级林下经济示范乡镇创建，扶持林下经济产品初加工和精深加工，以点带面，促进林下经济</w:t>
      </w:r>
      <w:r>
        <w:rPr>
          <w:rFonts w:hint="eastAsia" w:ascii="仿宋_GB2312" w:hAnsi="仿宋_GB2312" w:cs="仿宋_GB2312"/>
          <w:color w:val="000000"/>
          <w:sz w:val="30"/>
          <w:szCs w:val="30"/>
        </w:rPr>
        <w:t>科学合理发展。积极培育“生态+”旅游新业态，推进森林康养、森林人家等生态旅游发展，加快森林养生城市、森林康养小镇、森林康养基地等建设。培育乡村旅游品牌。结合乡村振兴规划，推动旅游新业态发展。推动“产业+旅游”“行业+旅游”融合，结合水产、林竹花卉、茶叶等八大特色农业产业，推动建设一批竞争力强、影响力大的乡村文旅品牌。</w:t>
      </w:r>
      <w:r>
        <w:rPr>
          <w:rFonts w:hint="eastAsia" w:ascii="仿宋_GB2312" w:hAnsi="仿宋_GB2312" w:cs="仿宋_GB2312"/>
          <w:color w:val="000000"/>
          <w:sz w:val="30"/>
          <w:szCs w:val="30"/>
          <w:lang w:val="zh-CN"/>
        </w:rPr>
        <w:t>到2025年，“</w:t>
      </w:r>
      <w:r>
        <w:rPr>
          <w:rFonts w:hint="eastAsia" w:ascii="仿宋_GB2312" w:hAnsi="仿宋_GB2312" w:cs="仿宋_GB2312"/>
          <w:color w:val="000000"/>
          <w:sz w:val="30"/>
          <w:szCs w:val="30"/>
        </w:rPr>
        <w:t>森林人家</w:t>
      </w:r>
      <w:r>
        <w:rPr>
          <w:rFonts w:hint="eastAsia" w:ascii="仿宋_GB2312" w:hAnsi="仿宋_GB2312" w:cs="仿宋_GB2312"/>
          <w:color w:val="000000"/>
          <w:sz w:val="30"/>
          <w:szCs w:val="30"/>
          <w:lang w:eastAsia="zh-CN"/>
        </w:rPr>
        <w:t>”</w:t>
      </w:r>
      <w:r>
        <w:rPr>
          <w:rFonts w:hint="eastAsia" w:ascii="仿宋_GB2312" w:hAnsi="仿宋_GB2312" w:cs="仿宋_GB2312"/>
          <w:color w:val="000000"/>
          <w:sz w:val="30"/>
          <w:szCs w:val="30"/>
        </w:rPr>
        <w:t>达到40家。</w:t>
      </w:r>
      <w:bookmarkEnd w:id="541"/>
      <w:bookmarkEnd w:id="542"/>
      <w:bookmarkEnd w:id="543"/>
      <w:bookmarkEnd w:id="544"/>
      <w:bookmarkEnd w:id="545"/>
      <w:bookmarkStart w:id="546" w:name="_Toc3150"/>
      <w:bookmarkStart w:id="547" w:name="_Toc27079"/>
      <w:bookmarkStart w:id="548" w:name="_Toc25204"/>
      <w:bookmarkStart w:id="549" w:name="_Toc32233"/>
      <w:bookmarkStart w:id="550" w:name="_Toc18886"/>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 w:val="30"/>
          <w:szCs w:val="30"/>
        </w:rPr>
      </w:pPr>
      <w:bookmarkStart w:id="551" w:name="_Toc30276"/>
      <w:bookmarkStart w:id="552" w:name="_Toc6831"/>
      <w:bookmarkStart w:id="553" w:name="_Toc25623"/>
      <w:bookmarkStart w:id="554" w:name="_Toc14346"/>
      <w:bookmarkStart w:id="555" w:name="_Toc26056"/>
      <w:bookmarkStart w:id="556" w:name="_Toc29159"/>
      <w:r>
        <w:rPr>
          <w:rFonts w:hint="eastAsia" w:ascii="楷体_GB2312" w:hAnsi="楷体_GB2312" w:eastAsia="楷体_GB2312" w:cs="楷体_GB2312"/>
          <w:color w:val="000000"/>
          <w:szCs w:val="32"/>
        </w:rPr>
        <w:t>第二节 做美做精乡村休闲旅游业</w:t>
      </w:r>
      <w:bookmarkEnd w:id="546"/>
      <w:bookmarkEnd w:id="547"/>
      <w:bookmarkEnd w:id="548"/>
      <w:bookmarkEnd w:id="549"/>
      <w:bookmarkEnd w:id="550"/>
      <w:bookmarkEnd w:id="551"/>
      <w:bookmarkEnd w:id="552"/>
      <w:bookmarkEnd w:id="553"/>
      <w:bookmarkEnd w:id="554"/>
      <w:bookmarkEnd w:id="555"/>
      <w:bookmarkEnd w:id="556"/>
    </w:p>
    <w:p>
      <w:pPr>
        <w:adjustRightInd w:val="0"/>
        <w:snapToGrid w:val="0"/>
        <w:spacing w:line="596" w:lineRule="exact"/>
        <w:ind w:firstLine="602"/>
        <w:rPr>
          <w:b/>
          <w:bCs/>
          <w:color w:val="000000"/>
          <w:sz w:val="30"/>
          <w:szCs w:val="30"/>
        </w:rPr>
      </w:pP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（一）发展定位</w:t>
      </w:r>
    </w:p>
    <w:p>
      <w:pPr>
        <w:adjustRightInd w:val="0"/>
        <w:snapToGrid w:val="0"/>
        <w:spacing w:line="596" w:lineRule="exact"/>
        <w:ind w:firstLine="600"/>
        <w:rPr>
          <w:color w:val="000000"/>
          <w:sz w:val="30"/>
          <w:szCs w:val="30"/>
        </w:rPr>
      </w:pPr>
      <w:r>
        <w:rPr>
          <w:rFonts w:hint="eastAsia"/>
          <w:color w:val="000000"/>
          <w:sz w:val="30"/>
          <w:szCs w:val="30"/>
        </w:rPr>
        <w:t>以发展全域旅游为载体，全面实施“+旅游”产业融合模式，推动农旅、茶旅、海旅等新业态多类型跨界融合发展，打造乡村生态旅游产业链条，推动形成体系完善、布局合理、品质优良、百花齐放的全域旅游发展格局。</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（二）发展目标</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发挥宁德山水资源兼备优势，创建闽台乡村休闲旅游业发展合作平台，构建结构合理、特色突出、管理规范的乡村休闲旅游业格局，满足城乡居民休闲度假和观光旅游需求。到2025年，全市乡村休闲旅游接待游客人数2810万人次，乡村休闲旅游总收入200亿元。</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（三）规划布局</w:t>
      </w:r>
    </w:p>
    <w:p>
      <w:pPr>
        <w:adjustRightInd w:val="0"/>
        <w:snapToGrid w:val="0"/>
        <w:spacing w:line="596" w:lineRule="exact"/>
        <w:ind w:firstLine="600"/>
        <w:rPr>
          <w:color w:val="000000"/>
          <w:sz w:val="30"/>
          <w:szCs w:val="30"/>
        </w:rPr>
      </w:pPr>
      <w:r>
        <w:rPr>
          <w:rFonts w:hint="eastAsia"/>
          <w:color w:val="000000"/>
          <w:sz w:val="30"/>
          <w:szCs w:val="30"/>
        </w:rPr>
        <w:t>规划形成三层空间布局，即发展以主要景区为依托的第一层次空间布局、打造以交通主要干线为依托的第二层次空间布局</w:t>
      </w:r>
      <w:r>
        <w:rPr>
          <w:color w:val="000000"/>
          <w:sz w:val="30"/>
          <w:szCs w:val="30"/>
        </w:rPr>
        <w:t>、</w:t>
      </w:r>
      <w:r>
        <w:rPr>
          <w:rFonts w:hint="eastAsia"/>
          <w:color w:val="000000"/>
          <w:sz w:val="30"/>
          <w:szCs w:val="30"/>
        </w:rPr>
        <w:t>整合以四大城区为依托的第三层次空间局。第一层次空间布局，分别以福鼎太姥山景区</w:t>
      </w:r>
      <w:r>
        <w:rPr>
          <w:color w:val="000000"/>
          <w:sz w:val="30"/>
          <w:szCs w:val="30"/>
        </w:rPr>
        <w:t>、</w:t>
      </w:r>
      <w:r>
        <w:rPr>
          <w:rFonts w:hint="eastAsia"/>
          <w:color w:val="000000"/>
          <w:sz w:val="30"/>
          <w:szCs w:val="30"/>
        </w:rPr>
        <w:t>屏南白水洋</w:t>
      </w:r>
      <w:r>
        <w:rPr>
          <w:color w:val="000000"/>
          <w:sz w:val="30"/>
          <w:szCs w:val="30"/>
        </w:rPr>
        <w:t>·</w:t>
      </w:r>
      <w:r>
        <w:rPr>
          <w:rFonts w:hint="eastAsia"/>
          <w:color w:val="000000"/>
          <w:sz w:val="30"/>
          <w:szCs w:val="30"/>
        </w:rPr>
        <w:t>鸳鸯溪景区</w:t>
      </w:r>
      <w:r>
        <w:rPr>
          <w:color w:val="000000"/>
          <w:sz w:val="30"/>
          <w:szCs w:val="30"/>
        </w:rPr>
        <w:t>、</w:t>
      </w:r>
      <w:r>
        <w:rPr>
          <w:rFonts w:hint="eastAsia"/>
          <w:color w:val="000000"/>
          <w:sz w:val="30"/>
          <w:szCs w:val="30"/>
        </w:rPr>
        <w:t>福安白云山景区</w:t>
      </w:r>
      <w:r>
        <w:rPr>
          <w:color w:val="000000"/>
          <w:sz w:val="30"/>
          <w:szCs w:val="30"/>
        </w:rPr>
        <w:t>、</w:t>
      </w:r>
      <w:r>
        <w:rPr>
          <w:rFonts w:hint="eastAsia"/>
          <w:color w:val="000000"/>
          <w:sz w:val="30"/>
          <w:szCs w:val="30"/>
        </w:rPr>
        <w:t>九龙漈·鲤鱼溪景区、环古田翠屏湖和临水宫景区</w:t>
      </w:r>
      <w:r>
        <w:rPr>
          <w:color w:val="000000"/>
          <w:sz w:val="30"/>
          <w:szCs w:val="30"/>
        </w:rPr>
        <w:t>、</w:t>
      </w:r>
      <w:r>
        <w:rPr>
          <w:rFonts w:hint="eastAsia"/>
          <w:color w:val="000000"/>
          <w:sz w:val="30"/>
          <w:szCs w:val="30"/>
        </w:rPr>
        <w:t>霞浦国际滩涂摄影基地为中心，联动培育滨海旅游</w:t>
      </w:r>
      <w:r>
        <w:rPr>
          <w:color w:val="000000"/>
          <w:sz w:val="30"/>
          <w:szCs w:val="30"/>
        </w:rPr>
        <w:t>、</w:t>
      </w:r>
      <w:r>
        <w:rPr>
          <w:rFonts w:hint="eastAsia"/>
          <w:color w:val="000000"/>
          <w:sz w:val="30"/>
          <w:szCs w:val="30"/>
        </w:rPr>
        <w:t>生态旅游</w:t>
      </w:r>
      <w:r>
        <w:rPr>
          <w:color w:val="000000"/>
          <w:sz w:val="30"/>
          <w:szCs w:val="30"/>
        </w:rPr>
        <w:t>、</w:t>
      </w:r>
      <w:r>
        <w:rPr>
          <w:rFonts w:hint="eastAsia"/>
          <w:color w:val="000000"/>
          <w:sz w:val="30"/>
          <w:szCs w:val="30"/>
        </w:rPr>
        <w:t>文化体验</w:t>
      </w:r>
      <w:r>
        <w:rPr>
          <w:color w:val="000000"/>
          <w:sz w:val="30"/>
          <w:szCs w:val="30"/>
        </w:rPr>
        <w:t>、</w:t>
      </w:r>
      <w:r>
        <w:rPr>
          <w:rFonts w:hint="eastAsia"/>
          <w:color w:val="000000"/>
          <w:sz w:val="30"/>
          <w:szCs w:val="30"/>
        </w:rPr>
        <w:t>康体养生等一批特色旅游小镇，构筑滨海摄影</w:t>
      </w:r>
      <w:r>
        <w:rPr>
          <w:color w:val="000000"/>
          <w:sz w:val="30"/>
          <w:szCs w:val="30"/>
        </w:rPr>
        <w:t>、</w:t>
      </w:r>
      <w:r>
        <w:rPr>
          <w:rFonts w:hint="eastAsia"/>
          <w:color w:val="000000"/>
          <w:sz w:val="30"/>
          <w:szCs w:val="30"/>
        </w:rPr>
        <w:t>研学</w:t>
      </w:r>
      <w:r>
        <w:rPr>
          <w:color w:val="000000"/>
          <w:sz w:val="30"/>
          <w:szCs w:val="30"/>
        </w:rPr>
        <w:t>、</w:t>
      </w:r>
      <w:r>
        <w:rPr>
          <w:rFonts w:hint="eastAsia"/>
          <w:color w:val="000000"/>
          <w:sz w:val="30"/>
          <w:szCs w:val="30"/>
        </w:rPr>
        <w:t>休闲度假旅游新模式</w:t>
      </w:r>
      <w:r>
        <w:rPr>
          <w:color w:val="000000"/>
          <w:sz w:val="30"/>
          <w:szCs w:val="30"/>
        </w:rPr>
        <w:t>。</w:t>
      </w:r>
      <w:r>
        <w:rPr>
          <w:rFonts w:hint="eastAsia"/>
          <w:color w:val="000000"/>
          <w:sz w:val="30"/>
          <w:szCs w:val="30"/>
        </w:rPr>
        <w:t>第二层次空间布局，以沈海高速及温福铁路为轴线，构筑渔家风情旅游带；以沈海高速复线</w:t>
      </w:r>
      <w:r>
        <w:rPr>
          <w:color w:val="000000"/>
          <w:sz w:val="30"/>
          <w:szCs w:val="30"/>
        </w:rPr>
        <w:t>、</w:t>
      </w:r>
      <w:r>
        <w:rPr>
          <w:rFonts w:hint="eastAsia"/>
          <w:color w:val="000000"/>
          <w:sz w:val="30"/>
          <w:szCs w:val="30"/>
        </w:rPr>
        <w:t>福寿高速为轴线，构筑福寿联动带；以合福高铁和京台高速</w:t>
      </w:r>
      <w:r>
        <w:rPr>
          <w:color w:val="000000"/>
          <w:sz w:val="30"/>
          <w:szCs w:val="30"/>
        </w:rPr>
        <w:t>、</w:t>
      </w:r>
      <w:r>
        <w:rPr>
          <w:rFonts w:hint="eastAsia"/>
          <w:color w:val="000000"/>
          <w:sz w:val="30"/>
          <w:szCs w:val="30"/>
        </w:rPr>
        <w:t>宁古高速</w:t>
      </w:r>
      <w:r>
        <w:rPr>
          <w:color w:val="000000"/>
          <w:sz w:val="30"/>
          <w:szCs w:val="30"/>
        </w:rPr>
        <w:t>、</w:t>
      </w:r>
      <w:r>
        <w:rPr>
          <w:rFonts w:hint="eastAsia"/>
          <w:color w:val="000000"/>
          <w:sz w:val="30"/>
          <w:szCs w:val="30"/>
        </w:rPr>
        <w:t>宁武高速为轴线，构筑亲水联动带</w:t>
      </w:r>
      <w:r>
        <w:rPr>
          <w:color w:val="000000"/>
          <w:sz w:val="30"/>
          <w:szCs w:val="30"/>
        </w:rPr>
        <w:t>。</w:t>
      </w:r>
      <w:r>
        <w:rPr>
          <w:rFonts w:hint="eastAsia"/>
          <w:color w:val="000000"/>
          <w:sz w:val="30"/>
          <w:szCs w:val="30"/>
        </w:rPr>
        <w:t>第三层次空间布局，利用蕉城</w:t>
      </w:r>
      <w:r>
        <w:rPr>
          <w:color w:val="000000"/>
          <w:sz w:val="30"/>
          <w:szCs w:val="30"/>
        </w:rPr>
        <w:t>、</w:t>
      </w:r>
      <w:r>
        <w:rPr>
          <w:rFonts w:hint="eastAsia"/>
          <w:color w:val="000000"/>
          <w:sz w:val="30"/>
          <w:szCs w:val="30"/>
        </w:rPr>
        <w:t>福安</w:t>
      </w:r>
      <w:r>
        <w:rPr>
          <w:color w:val="000000"/>
          <w:sz w:val="30"/>
          <w:szCs w:val="30"/>
        </w:rPr>
        <w:t>、</w:t>
      </w:r>
      <w:r>
        <w:rPr>
          <w:rFonts w:hint="eastAsia"/>
          <w:color w:val="000000"/>
          <w:sz w:val="30"/>
          <w:szCs w:val="30"/>
        </w:rPr>
        <w:t>福鼎</w:t>
      </w:r>
      <w:r>
        <w:rPr>
          <w:color w:val="000000"/>
          <w:sz w:val="30"/>
          <w:szCs w:val="30"/>
        </w:rPr>
        <w:t>、</w:t>
      </w:r>
      <w:r>
        <w:rPr>
          <w:rFonts w:hint="eastAsia"/>
          <w:color w:val="000000"/>
          <w:sz w:val="30"/>
          <w:szCs w:val="30"/>
        </w:rPr>
        <w:t>屏南观光休闲</w:t>
      </w:r>
      <w:r>
        <w:rPr>
          <w:color w:val="000000"/>
          <w:sz w:val="30"/>
          <w:szCs w:val="30"/>
        </w:rPr>
        <w:t>、</w:t>
      </w:r>
      <w:r>
        <w:rPr>
          <w:rFonts w:hint="eastAsia"/>
          <w:color w:val="000000"/>
          <w:sz w:val="30"/>
          <w:szCs w:val="30"/>
        </w:rPr>
        <w:t>生态农业</w:t>
      </w:r>
      <w:r>
        <w:rPr>
          <w:color w:val="000000"/>
          <w:sz w:val="30"/>
          <w:szCs w:val="30"/>
        </w:rPr>
        <w:t>、</w:t>
      </w:r>
      <w:r>
        <w:rPr>
          <w:rFonts w:hint="eastAsia"/>
          <w:color w:val="000000"/>
          <w:sz w:val="30"/>
          <w:szCs w:val="30"/>
        </w:rPr>
        <w:t>特色产业等优势资源，打造四大城区的旅游小镇集群</w:t>
      </w:r>
      <w:r>
        <w:rPr>
          <w:color w:val="000000"/>
          <w:sz w:val="30"/>
          <w:szCs w:val="30"/>
        </w:rPr>
        <w:t>。</w:t>
      </w:r>
    </w:p>
    <w:p>
      <w:pPr>
        <w:adjustRightInd w:val="0"/>
        <w:snapToGrid w:val="0"/>
        <w:spacing w:line="596" w:lineRule="exact"/>
        <w:ind w:firstLine="602"/>
        <w:rPr>
          <w:rFonts w:hint="eastAsia" w:ascii="楷体_GB2312" w:hAnsi="楷体_GB2312" w:eastAsia="楷体_GB2312" w:cs="楷体_GB2312"/>
          <w:b/>
          <w:bCs/>
          <w:color w:val="000000"/>
          <w:sz w:val="30"/>
          <w:szCs w:val="30"/>
        </w:rPr>
      </w:pPr>
      <w:r>
        <w:rPr>
          <w:rFonts w:hint="eastAsia" w:ascii="楷体_GB2312" w:hAnsi="楷体_GB2312" w:eastAsia="楷体_GB2312" w:cs="楷体_GB2312"/>
          <w:b/>
          <w:bCs/>
          <w:color w:val="000000"/>
          <w:sz w:val="30"/>
          <w:szCs w:val="30"/>
        </w:rPr>
        <w:t>（四）发展措施</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1.开发乡村生态旅游产品。</w:t>
      </w:r>
      <w:r>
        <w:rPr>
          <w:rFonts w:hint="eastAsia" w:ascii="仿宋_GB2312" w:hAnsi="仿宋_GB2312" w:cs="仿宋_GB2312"/>
          <w:color w:val="000000"/>
          <w:sz w:val="30"/>
          <w:szCs w:val="30"/>
        </w:rPr>
        <w:t>在传统旅游要素建设的基础上，发展周宁、寿宁、柘荣等县的养生旅游；结合小镇特有的历史文化和民俗风情、传统歌舞、民间戏曲、地方技艺等传统文化，推动以廊桥文化、红色文化、畲族文化、茶文化等为依托的研学旅游，提升小镇文化品位；对接渔家海岸、美丽乡村等休闲度假旅游；创新陈靖姑信俗、原真生活摄影等情感旅游；开发嵛山岛、白云山、白水洋、台山列岛等探奇项目。同时，结合“吃、住、行、游、购、娱”旅游六要素，完善全产业链和全天候“清新福建·绿色宁德”旅游产品体系。挖掘当地美食，培育旅游餐饮企业；发展特色精品酒店、民宿，构建完善住宿体系；</w:t>
      </w:r>
      <w:r>
        <w:rPr>
          <w:rFonts w:hint="eastAsia"/>
          <w:color w:val="000000"/>
          <w:sz w:val="30"/>
          <w:szCs w:val="30"/>
        </w:rPr>
        <w:t>开发旅游商品，扶持伴手礼品牌；打造水</w:t>
      </w:r>
      <w:r>
        <w:rPr>
          <w:rFonts w:hint="eastAsia" w:ascii="仿宋_GB2312" w:hAnsi="仿宋_GB2312" w:cs="仿宋_GB2312"/>
          <w:color w:val="000000"/>
          <w:sz w:val="30"/>
          <w:szCs w:val="30"/>
        </w:rPr>
        <w:t>上娱乐休闲、茶艺生活体验等项目，有效培育“商、养、学、闲、情、奇”等旅游业态。</w:t>
      </w: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b/>
          <w:bCs/>
          <w:color w:val="000000"/>
          <w:sz w:val="30"/>
          <w:szCs w:val="30"/>
        </w:rPr>
        <w:t>2.创建乡村旅游品牌。</w:t>
      </w:r>
      <w:r>
        <w:rPr>
          <w:rFonts w:hint="eastAsia" w:ascii="仿宋_GB2312" w:hAnsi="仿宋_GB2312" w:cs="仿宋_GB2312"/>
          <w:color w:val="000000"/>
          <w:sz w:val="30"/>
          <w:szCs w:val="30"/>
        </w:rPr>
        <w:t>实施品牌带动战略，创建乡村生态旅游品牌，推进乡村观光旅游向乡村休闲度假和乡村生活转型升级，把乡村生态旅游培育成全市旅游产业的重要增长极。挖掘乡村生态旅游资源，争创一批康养旅游休闲基地和体育旅游休闲基地。结合A级景区评定标准，加强旅游核心产品开发，提升服务质量水平，优先从旅游小镇中培育国家A级景区，争创1-2个国家4A级旅游景区。</w:t>
      </w:r>
    </w:p>
    <w:p>
      <w:pPr>
        <w:adjustRightInd w:val="0"/>
        <w:snapToGrid w:val="0"/>
        <w:spacing w:line="596" w:lineRule="exact"/>
        <w:ind w:firstLine="600"/>
        <w:rPr>
          <w:rFonts w:hint="eastAsia"/>
          <w:color w:val="000000"/>
          <w:sz w:val="30"/>
          <w:szCs w:val="30"/>
        </w:rPr>
      </w:pPr>
      <w:r>
        <w:rPr>
          <w:rFonts w:hint="eastAsia" w:ascii="仿宋_GB2312" w:hAnsi="仿宋_GB2312" w:cs="仿宋_GB2312"/>
          <w:b/>
          <w:bCs/>
          <w:color w:val="000000"/>
          <w:sz w:val="30"/>
          <w:szCs w:val="30"/>
        </w:rPr>
        <w:t>3.打造培育旅游小镇。</w:t>
      </w:r>
      <w:r>
        <w:rPr>
          <w:rFonts w:hint="eastAsia" w:ascii="仿宋_GB2312" w:hAnsi="仿宋_GB2312" w:cs="仿宋_GB2312"/>
          <w:color w:val="000000"/>
          <w:sz w:val="30"/>
          <w:szCs w:val="30"/>
        </w:rPr>
        <w:t>以推动全域化旅游为抓手，结合旅游小镇发展思路，实施通用标准与 7 类不同主题定位小镇的特色标准工程，规范提升小镇建设和管理水平，促进旅游小镇完善功能、规范管理、提升服务。加强旅游小镇业态培育，构建各具特色的旅游产品体系。以“绿色宁德”品牌为统领，开展系列宣传营销活动，采用“联合推介、捆绑营销”的方式，建立跨部门、跨行业、跨地域的“宁德旅游小镇”品牌联合推广机制。力争到2025年，全市共创建40个主题特色鲜明、旅游功能完善、体制机制灵活、人文气息浓厚、生态环境优美、宜游宜业宜居的旅游小镇。实施交通通达工程，提升乡村交通道路、公交线路建设，完善充电基础设施网络、停车场等，引进共享汽车分时租赁一体化运营项目，实现旅游小镇出行零距离对接。</w:t>
      </w:r>
      <w:r>
        <w:rPr>
          <w:rFonts w:hint="eastAsia"/>
          <w:color w:val="000000"/>
          <w:sz w:val="30"/>
          <w:szCs w:val="30"/>
        </w:rPr>
        <w:t>实施基础配套工程，完善城市道路以及旅游小镇之间的交通指引标识牌和电子地图，规范统一小镇内的方向导引符号、交通警示牌等标识物。加强旅游服务中心、旅游厕所的运营管理，提升服务品质。</w:t>
      </w:r>
      <w:r>
        <w:rPr>
          <w:rFonts w:hint="eastAsia" w:ascii="仿宋_GB2312" w:hAnsi="仿宋_GB2312" w:cs="仿宋_GB2312"/>
          <w:color w:val="000000"/>
          <w:sz w:val="30"/>
          <w:szCs w:val="30"/>
        </w:rPr>
        <w:t>对接智慧旅游工程，推进旅游大数据整合分析，引导景区、旅</w:t>
      </w:r>
      <w:r>
        <w:rPr>
          <w:rFonts w:hint="eastAsia"/>
          <w:color w:val="000000"/>
          <w:sz w:val="30"/>
          <w:szCs w:val="30"/>
        </w:rPr>
        <w:t>行社、酒店及相关涉旅企业完善智慧旅游服务平台，全面提升游客体验。</w:t>
      </w:r>
    </w:p>
    <w:p>
      <w:pPr>
        <w:adjustRightInd w:val="0"/>
        <w:snapToGrid w:val="0"/>
        <w:spacing w:line="596" w:lineRule="exact"/>
        <w:ind w:firstLine="600"/>
        <w:rPr>
          <w:rFonts w:hint="eastAsia" w:ascii="仿宋_GB2312" w:hAnsi="仿宋_GB2312" w:cs="仿宋_GB2312"/>
          <w:color w:val="000000"/>
          <w:sz w:val="30"/>
          <w:szCs w:val="30"/>
        </w:rPr>
      </w:pPr>
      <w:r>
        <w:rPr>
          <w:rFonts w:hint="eastAsia" w:ascii="仿宋_GB2312" w:hAnsi="仿宋_GB2312" w:cs="仿宋_GB2312"/>
          <w:b/>
          <w:bCs/>
          <w:color w:val="000000"/>
          <w:sz w:val="30"/>
          <w:szCs w:val="30"/>
          <w:lang w:val="en-US" w:eastAsia="zh-CN"/>
        </w:rPr>
        <w:t>4.</w:t>
      </w:r>
      <w:r>
        <w:rPr>
          <w:rFonts w:hint="eastAsia" w:ascii="仿宋_GB2312" w:hAnsi="仿宋_GB2312" w:cs="仿宋_GB2312"/>
          <w:b/>
          <w:bCs/>
          <w:color w:val="000000"/>
          <w:sz w:val="30"/>
          <w:szCs w:val="30"/>
        </w:rPr>
        <w:t>做强海洋旅游。</w:t>
      </w:r>
      <w:r>
        <w:rPr>
          <w:rFonts w:hint="eastAsia" w:ascii="仿宋_GB2312" w:hAnsi="仿宋_GB2312" w:cs="仿宋_GB2312"/>
          <w:color w:val="000000"/>
          <w:sz w:val="30"/>
          <w:szCs w:val="30"/>
        </w:rPr>
        <w:t>坚持陆海统筹、一体开发，深度开发海上牧场观光体验、渔排垂钓、岛礁垂钓、海洋科普研学、渔家体验、海上竞技娱乐运动等“游岛玩海”系列产品，打造滨海旅游精品线路。提升基础设施，对照旅游集散中心的规范条件，强化陆岛交通码头旅游服务集散功能建设滨海旅游集散中心，打造海上交通枢纽，实现旅游交通无缝接驳。立足产业链招大引强，引进中国企业500强、全国旅游企业集团20强来宁布局，推动实施一批滨海旅游重点项目，加快推进福鼎环晴敏湾旅游度假项目、嵛山岛休闲度假项目、霞浦滨海风景道、大京景区开发等重点滨海项目建设。试点推进无居民海岛使用权市场化运作，探索海洋旅游资源资产化转换路径。力争到2023年，全市新增13个3A级及以上滨海景区、4个渔旅融合示范项目、3处滨海主题民宿集群，打造10条滨海旅游精品线路。到2025年，培育9个滨海旅游主题海岛，建成全国知名的渔旅融合示范区。</w:t>
      </w:r>
    </w:p>
    <w:p>
      <w:pPr>
        <w:pStyle w:val="21"/>
        <w:ind w:firstLine="0"/>
        <w:outlineLvl w:val="2"/>
      </w:pPr>
    </w:p>
    <w:tbl>
      <w:tblPr>
        <w:tblStyle w:val="16"/>
        <w:tblW w:w="8495" w:type="dxa"/>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495" w:type="dxa"/>
            <w:tcBorders>
              <w:top w:val="single" w:color="auto" w:sz="4" w:space="0"/>
            </w:tcBorders>
            <w:noWrap w:val="0"/>
            <w:vAlign w:val="top"/>
          </w:tcPr>
          <w:p>
            <w:pPr>
              <w:spacing w:beforeLines="50" w:line="340" w:lineRule="exact"/>
              <w:ind w:firstLine="602"/>
              <w:jc w:val="center"/>
              <w:rPr>
                <w:rFonts w:ascii="楷体" w:hAnsi="楷体" w:eastAsia="楷体" w:cs="楷体"/>
                <w:b/>
                <w:bCs/>
                <w:color w:val="000000"/>
                <w:sz w:val="28"/>
                <w:szCs w:val="28"/>
              </w:rPr>
            </w:pPr>
            <w:bookmarkStart w:id="557" w:name="_Toc10804"/>
            <w:bookmarkStart w:id="558" w:name="_Toc20990"/>
            <w:bookmarkStart w:id="559" w:name="_Toc26652"/>
            <w:bookmarkStart w:id="560" w:name="_Toc5732"/>
            <w:bookmarkStart w:id="561" w:name="_Toc30936"/>
            <w:bookmarkStart w:id="562" w:name="_Toc15240"/>
            <w:bookmarkStart w:id="563" w:name="_Toc13907"/>
            <w:bookmarkStart w:id="564" w:name="_Toc15266"/>
            <w:bookmarkStart w:id="565" w:name="_Toc22124"/>
            <w:bookmarkStart w:id="566" w:name="_Toc4519"/>
            <w:r>
              <w:rPr>
                <w:rFonts w:hint="eastAsia" w:ascii="黑体" w:hAnsi="黑体" w:eastAsia="黑体" w:cs="黑体"/>
                <w:b w:val="0"/>
                <w:bCs/>
                <w:color w:val="000000"/>
                <w:sz w:val="30"/>
                <w:szCs w:val="30"/>
              </w:rPr>
              <w:t>专栏5：特色现代农业产业提升行动</w:t>
            </w:r>
            <w:bookmarkEnd w:id="557"/>
            <w:bookmarkEnd w:id="558"/>
            <w:bookmarkEnd w:id="559"/>
            <w:bookmarkEnd w:id="560"/>
            <w:bookmarkEnd w:id="561"/>
            <w:bookmarkEnd w:id="562"/>
            <w:bookmarkEnd w:id="563"/>
            <w:bookmarkEnd w:id="564"/>
            <w:bookmarkEnd w:id="565"/>
            <w:bookmarkEnd w:id="5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495" w:type="dxa"/>
            <w:tcBorders>
              <w:top w:val="single" w:color="auto" w:sz="4" w:space="0"/>
            </w:tcBorders>
            <w:noWrap w:val="0"/>
            <w:vAlign w:val="top"/>
          </w:tcPr>
          <w:p>
            <w:pPr>
              <w:spacing w:line="460" w:lineRule="exact"/>
              <w:ind w:firstLine="482"/>
              <w:rPr>
                <w:rFonts w:ascii="仿宋_GB2312" w:hAnsi="仿宋_GB2312" w:cs="仿宋_GB2312"/>
                <w:color w:val="000000"/>
                <w:sz w:val="24"/>
              </w:rPr>
            </w:pPr>
            <w:r>
              <w:rPr>
                <w:rFonts w:hint="eastAsia" w:ascii="仿宋_GB2312" w:hAnsi="仿宋_GB2312" w:cs="仿宋_GB2312"/>
                <w:b/>
                <w:bCs/>
                <w:color w:val="000000"/>
                <w:sz w:val="24"/>
              </w:rPr>
              <w:t>1.国际知名的中国名茶之乡建设工程：</w:t>
            </w:r>
            <w:r>
              <w:rPr>
                <w:rFonts w:hint="eastAsia" w:ascii="仿宋_GB2312" w:hAnsi="仿宋_GB2312" w:cs="仿宋_GB2312"/>
                <w:color w:val="000000"/>
                <w:sz w:val="24"/>
              </w:rPr>
              <w:t>开展茶叶原产地保护和品牌建设行动，将“福鼎白茶”“坦洋工夫”“寿宁高山茶”“周宁高山云雾茶”等打造成为国内外知名品牌。鼓励支持茶企与科研院校产学研合作，加快推进周宁、寿宁、福鼎等现代茶叶产业园和生态茶园建设，完成低产低质茶园改造10万亩以上。</w:t>
            </w:r>
          </w:p>
          <w:p>
            <w:pPr>
              <w:spacing w:line="460" w:lineRule="exact"/>
              <w:ind w:firstLine="482"/>
              <w:rPr>
                <w:rFonts w:ascii="仿宋_GB2312" w:hAnsi="仿宋_GB2312" w:cs="仿宋_GB2312"/>
                <w:color w:val="000000"/>
                <w:sz w:val="24"/>
              </w:rPr>
            </w:pPr>
            <w:r>
              <w:rPr>
                <w:rFonts w:hint="eastAsia" w:ascii="仿宋_GB2312" w:hAnsi="仿宋_GB2312" w:cs="仿宋_GB2312"/>
                <w:b/>
                <w:bCs/>
                <w:color w:val="000000"/>
                <w:sz w:val="24"/>
              </w:rPr>
              <w:t>2.中国特色水产之乡建设工程：</w:t>
            </w:r>
            <w:r>
              <w:rPr>
                <w:rFonts w:hint="eastAsia" w:ascii="仿宋_GB2312" w:hAnsi="仿宋_GB2312" w:cs="仿宋_GB2312"/>
                <w:color w:val="000000"/>
                <w:sz w:val="24"/>
              </w:rPr>
              <w:t>推广绿色生态健康养殖方式，稳定发展大黄鱼、海参、鲍鱼、海带、紫菜等区域特色优势养殖品种，积极扶持水产品精深加工业，通过人工培育和增养殖在湾外形成具地方特色的鱼、虾、蟹、参、贝、藻等新产业，开展深远海养殖与海上风电融合发展试点工程，推进“数字渔业”建设工程，打造我国重要的现代渔业示范基地。</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3.中国食用菌之都产业高地建设工程：</w:t>
            </w:r>
            <w:r>
              <w:rPr>
                <w:rFonts w:hint="eastAsia" w:ascii="仿宋_GB2312" w:hAnsi="仿宋_GB2312" w:cs="仿宋_GB2312"/>
                <w:color w:val="000000"/>
                <w:sz w:val="24"/>
              </w:rPr>
              <w:t>开展食用菌标准化生产建设工程，形成银耳、茶树菇、香菇、猴头菇等食用菌核心生产片区。实施食用菌产业链延伸工程，大力开发休闲食品、保健品、营养食品、生物药品、化妆品等系列产品。支持古田食用菌国家现代农产业园建成乡村产业兴旺的支柱性产业示范样板。</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4.闽东精品水果生产供应基地：</w:t>
            </w:r>
            <w:r>
              <w:rPr>
                <w:rFonts w:hint="eastAsia" w:ascii="仿宋_GB2312" w:hAnsi="仿宋_GB2312" w:cs="仿宋_GB2312"/>
                <w:color w:val="000000"/>
                <w:sz w:val="24"/>
              </w:rPr>
              <w:t>开展优果建设工程，推动水果主产区调整品种结构，提高柑橘、葡萄、水蜜桃、油柰等地方名特优品种的质量，积极培育猕猴桃、百香果等新型水果产业，大力发展设施水果。实施水果加工业与品牌建设工程，加速发展贮藏加工产业，通过广告、新闻媒体、水果节、促销展示会等多种形式，打造宁德水果品牌。推进农产品冷藏库标准化冷链物流基础设施建设，形成一站式冷链物流体系，延长果品应市时间。</w:t>
            </w:r>
          </w:p>
          <w:p>
            <w:pPr>
              <w:spacing w:line="460" w:lineRule="exact"/>
              <w:ind w:firstLine="482"/>
              <w:rPr>
                <w:rFonts w:ascii="仿宋_GB2312" w:hAnsi="仿宋_GB2312" w:cs="仿宋_GB2312"/>
                <w:color w:val="000000"/>
                <w:sz w:val="24"/>
              </w:rPr>
            </w:pPr>
            <w:r>
              <w:rPr>
                <w:rFonts w:hint="eastAsia" w:ascii="仿宋_GB2312" w:hAnsi="仿宋_GB2312" w:cs="仿宋_GB2312"/>
                <w:b/>
                <w:bCs/>
                <w:color w:val="000000"/>
                <w:sz w:val="24"/>
              </w:rPr>
              <w:t>5.全省最具特色的高山生态鲜销菜基地和加工原料生产基地建设工程：</w:t>
            </w:r>
            <w:r>
              <w:rPr>
                <w:rFonts w:hint="eastAsia" w:ascii="仿宋_GB2312" w:hAnsi="仿宋_GB2312" w:cs="仿宋_GB2312"/>
                <w:color w:val="000000"/>
                <w:sz w:val="24"/>
              </w:rPr>
              <w:t xml:space="preserve">开展蔬菜产业布局优化及产业链延伸工程，加大蔬菜产业标准化生产基地建设，建立以槟榔芋为主的加工基地。提升采后商品化水平，积极推进蔬菜精深加工，延伸产业链，提高产品附加值。实施蔬菜配套体系完善行动，推进蔬菜物流配套基础设施建设。加大“福鼎槟榔芋”“屏南高山花菜” “寿宁山东乌”等区域公共品牌培育，推广农超直供对接、产品直销直供模式，大力开拓闽南、浙、沪地区市场，逐步形成南方重要的冬春蔬菜和夏秋高山蔬菜物流中心。 </w:t>
            </w:r>
          </w:p>
          <w:p>
            <w:pPr>
              <w:spacing w:line="460" w:lineRule="exact"/>
              <w:ind w:firstLine="482"/>
              <w:rPr>
                <w:rFonts w:ascii="仿宋_GB2312" w:hAnsi="仿宋_GB2312" w:cs="仿宋_GB2312"/>
                <w:sz w:val="24"/>
              </w:rPr>
            </w:pPr>
            <w:r>
              <w:rPr>
                <w:rFonts w:hint="eastAsia" w:ascii="仿宋_GB2312" w:hAnsi="仿宋_GB2312" w:cs="仿宋_GB2312"/>
                <w:b/>
                <w:bCs/>
                <w:color w:val="000000"/>
                <w:sz w:val="24"/>
              </w:rPr>
              <w:t>6.全省最大的中药材产业基地建设工程：</w:t>
            </w:r>
            <w:r>
              <w:rPr>
                <w:rFonts w:hint="eastAsia" w:ascii="仿宋_GB2312" w:hAnsi="仿宋_GB2312" w:cs="仿宋_GB2312"/>
                <w:color w:val="000000"/>
                <w:sz w:val="24"/>
              </w:rPr>
              <w:t>以柘荣县为核心，重点打造“闽东药城”，开展太子参、黄栀子等道地药材原种保存、传统品种提纯复壮、扩繁和展示示范。开展中药材标准化种植基地建设工程，健全太子参、黄栀子等品种的标准体系。持续开展中药材精深加工工程，深度开发功能食品、药食同源产品。推动屏南县药膳产业配套商业中心、屏南药膳养生养老休闲度假基地建设。</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7.地方特色畜牧产区建设工程：</w:t>
            </w:r>
            <w:r>
              <w:rPr>
                <w:rFonts w:hint="eastAsia" w:ascii="仿宋_GB2312" w:hAnsi="仿宋_GB2312" w:cs="仿宋_GB2312"/>
                <w:color w:val="000000"/>
                <w:sz w:val="24"/>
              </w:rPr>
              <w:t>加实施畜牧良种繁育体系建设工程，重点做好闽东山羊、福安水牛、古田黑番鸭等畜禽品种保护，力争培育形成具有闽东特色的“山地型生态畜牧业”。建设动物疫情防控体系，重点实施动物疫病预防与控制中心生物安全实验室、乡镇兽医站、动物疫情测报站等项目。开展畜牧业产业化、绿色化发展示范工程。每年新建或改扩建蛋禽养殖场1-2个，五年新增存栏蛋禽20万羽，实现禽蛋自给率达85%以上；每年新建或改扩建肉禽养殖场1-2个，五年新增出栏肉禽10万羽；每年新建或改扩建牛羊兔等草食动物养殖场1-2个，五年新增出栏牛羊兔等草食动物0.5万头（只）。</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8.闽东特色林竹花卉产业建设工程：</w:t>
            </w:r>
            <w:r>
              <w:rPr>
                <w:rFonts w:hint="eastAsia" w:ascii="仿宋_GB2312" w:hAnsi="仿宋_GB2312" w:cs="仿宋_GB2312"/>
                <w:color w:val="000000"/>
                <w:sz w:val="24"/>
              </w:rPr>
              <w:t>实施绿色富民工程，重点建设毛竹丰产林示范片，大力发展笋竹产品深加工，逐步发展油茶等木本粮油、名特优经济林和林下经济，改造提升林产加工业。持续实施省市花卉产业发展项目，加大设施花卉示范基地建设，着力发展鲜切花、盆栽植物、观赏苗木、食用药用花卉等特色名优产品，重点推进屏南、周宁等县高山冷凉花卉发展，加大霞浦盆景的研发创新力度，加快培育</w:t>
            </w:r>
            <w:r>
              <w:rPr>
                <w:rFonts w:hint="eastAsia" w:ascii="仿宋_GB2312" w:hAnsi="仿宋_GB2312" w:cs="仿宋_GB2312"/>
                <w:color w:val="000000"/>
                <w:sz w:val="24"/>
                <w:lang w:val="en-US" w:eastAsia="zh-CN"/>
              </w:rPr>
              <w:t>壮大</w:t>
            </w:r>
            <w:r>
              <w:rPr>
                <w:rFonts w:hint="eastAsia" w:ascii="仿宋_GB2312" w:hAnsi="仿宋_GB2312" w:cs="仿宋_GB2312"/>
                <w:color w:val="000000"/>
                <w:sz w:val="24"/>
              </w:rPr>
              <w:t>花卉产业。</w:t>
            </w:r>
          </w:p>
          <w:p>
            <w:pPr>
              <w:spacing w:line="460" w:lineRule="exact"/>
              <w:ind w:firstLine="482"/>
              <w:rPr>
                <w:rFonts w:ascii="仿宋_GB2312"/>
                <w:color w:val="000000"/>
                <w:kern w:val="0"/>
                <w:sz w:val="28"/>
                <w:szCs w:val="28"/>
              </w:rPr>
            </w:pPr>
            <w:r>
              <w:rPr>
                <w:rFonts w:hint="eastAsia" w:ascii="仿宋_GB2312" w:hAnsi="仿宋_GB2312" w:cs="仿宋_GB2312"/>
                <w:b/>
                <w:bCs/>
                <w:color w:val="000000"/>
                <w:sz w:val="24"/>
              </w:rPr>
              <w:t>9.宁德乡村休闲旅游品牌建设工程：</w:t>
            </w:r>
            <w:r>
              <w:rPr>
                <w:rFonts w:hint="eastAsia" w:ascii="仿宋_GB2312" w:hAnsi="仿宋_GB2312" w:cs="仿宋_GB2312"/>
                <w:color w:val="000000"/>
                <w:sz w:val="24"/>
              </w:rPr>
              <w:t>开展“五强堡垒、星级乡村”创建活动，深入挖掘乡村休闲旅游文化内涵，完善乡村休闲旅游基础设施和服务体系，全面实施农旅、文旅、茶旅、海旅等“+旅游”产业融合模式，积极培育一批金牌旅游村、旅游小镇、休闲观光园区、森林步道、气象气候景观、康养基地以及森林人家等乡村休闲旅游品牌。</w:t>
            </w:r>
          </w:p>
        </w:tc>
      </w:tr>
    </w:tbl>
    <w:p>
      <w:pPr>
        <w:adjustRightInd w:val="0"/>
        <w:snapToGrid w:val="0"/>
        <w:spacing w:line="596" w:lineRule="exact"/>
        <w:ind w:firstLine="0" w:firstLineChars="0"/>
        <w:jc w:val="center"/>
        <w:rPr>
          <w:color w:val="000000"/>
        </w:rPr>
      </w:pPr>
      <w:r>
        <w:rPr>
          <w:color w:val="000000"/>
        </w:rPr>
        <w:br w:type="page"/>
      </w:r>
      <w:bookmarkStart w:id="567" w:name="_Toc11947"/>
      <w:bookmarkStart w:id="568" w:name="_Toc20709"/>
      <w:bookmarkStart w:id="569" w:name="_Toc23770"/>
      <w:bookmarkStart w:id="570" w:name="_Toc355"/>
      <w:bookmarkStart w:id="571" w:name="_Toc10997"/>
      <w:bookmarkStart w:id="572" w:name="_Toc26304"/>
    </w:p>
    <w:p>
      <w:pPr>
        <w:adjustRightInd w:val="0"/>
        <w:snapToGrid w:val="0"/>
        <w:spacing w:line="596" w:lineRule="exact"/>
        <w:ind w:firstLine="0" w:firstLineChars="0"/>
        <w:jc w:val="center"/>
        <w:outlineLvl w:val="0"/>
        <w:rPr>
          <w:b/>
          <w:bCs/>
          <w:color w:val="000000"/>
          <w:szCs w:val="32"/>
        </w:rPr>
      </w:pPr>
      <w:bookmarkStart w:id="573" w:name="_Toc13627"/>
      <w:r>
        <w:rPr>
          <w:rFonts w:hint="eastAsia" w:ascii="黑体" w:hAnsi="黑体" w:eastAsia="黑体" w:cs="黑体"/>
          <w:color w:val="000000"/>
          <w:szCs w:val="32"/>
        </w:rPr>
        <w:t>第六章  构建特色现代农业生产体系</w:t>
      </w:r>
      <w:bookmarkEnd w:id="567"/>
      <w:bookmarkEnd w:id="568"/>
      <w:bookmarkEnd w:id="569"/>
      <w:bookmarkEnd w:id="570"/>
      <w:bookmarkEnd w:id="571"/>
      <w:bookmarkEnd w:id="572"/>
      <w:bookmarkEnd w:id="573"/>
    </w:p>
    <w:p>
      <w:pPr>
        <w:adjustRightInd w:val="0"/>
        <w:snapToGrid w:val="0"/>
        <w:spacing w:line="596" w:lineRule="exact"/>
        <w:ind w:firstLine="640"/>
        <w:rPr>
          <w:color w:val="000000"/>
        </w:rPr>
      </w:pPr>
      <w:bookmarkStart w:id="574" w:name="_Toc6275"/>
    </w:p>
    <w:p>
      <w:pPr>
        <w:pStyle w:val="21"/>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加快转变农业要素投入和发展方式，推动品种改良、品质提升、品牌打造，推动特色现代农业产业转型升级。</w:t>
      </w:r>
    </w:p>
    <w:p>
      <w:pPr>
        <w:pStyle w:val="21"/>
        <w:adjustRightInd w:val="0"/>
        <w:snapToGrid w:val="0"/>
        <w:spacing w:line="596" w:lineRule="exact"/>
        <w:ind w:firstLine="600"/>
        <w:rPr>
          <w:rFonts w:ascii="仿宋_GB2312" w:hAnsi="仿宋_GB2312" w:cs="仿宋_GB2312"/>
          <w:color w:val="000000"/>
          <w:sz w:val="30"/>
          <w:szCs w:val="30"/>
        </w:rPr>
      </w:pPr>
    </w:p>
    <w:p>
      <w:pPr>
        <w:pStyle w:val="4"/>
        <w:adjustRightInd w:val="0"/>
        <w:snapToGrid w:val="0"/>
        <w:spacing w:line="596" w:lineRule="exact"/>
        <w:rPr>
          <w:rFonts w:ascii="楷体_GB2312" w:hAnsi="楷体_GB2312" w:eastAsia="楷体_GB2312" w:cs="楷体_GB2312"/>
          <w:color w:val="000000"/>
          <w:szCs w:val="32"/>
        </w:rPr>
      </w:pPr>
      <w:bookmarkStart w:id="575" w:name="_Toc11062"/>
      <w:bookmarkStart w:id="576" w:name="_Toc12243"/>
      <w:bookmarkStart w:id="577" w:name="_Toc26691"/>
      <w:bookmarkStart w:id="578" w:name="_Toc10798"/>
      <w:bookmarkStart w:id="579" w:name="_Toc3298"/>
      <w:bookmarkStart w:id="580" w:name="_Toc17376"/>
      <w:bookmarkStart w:id="581" w:name="_Toc15575"/>
      <w:r>
        <w:rPr>
          <w:rFonts w:hint="eastAsia" w:ascii="楷体_GB2312" w:hAnsi="楷体_GB2312" w:eastAsia="楷体_GB2312" w:cs="楷体_GB2312"/>
          <w:color w:val="000000"/>
          <w:szCs w:val="32"/>
        </w:rPr>
        <w:t>第一节 推进农业良种化</w:t>
      </w:r>
      <w:bookmarkEnd w:id="575"/>
    </w:p>
    <w:p>
      <w:pPr>
        <w:adjustRightInd w:val="0"/>
        <w:snapToGrid w:val="0"/>
        <w:spacing w:line="596" w:lineRule="exact"/>
        <w:ind w:firstLine="640"/>
        <w:rPr>
          <w:rFonts w:ascii="仿宋_GB2312" w:hAnsi="仿宋_GB2312" w:cs="仿宋_GB2312"/>
          <w:color w:val="000000"/>
        </w:rPr>
      </w:pPr>
    </w:p>
    <w:p>
      <w:pPr>
        <w:adjustRightInd w:val="0"/>
        <w:snapToGrid w:val="0"/>
        <w:spacing w:line="596" w:lineRule="exact"/>
        <w:ind w:firstLine="600"/>
        <w:rPr>
          <w:rFonts w:ascii="仿宋_GB2312" w:hAnsi="仿宋_GB2312" w:cs="仿宋_GB2312"/>
          <w:color w:val="000000"/>
        </w:rPr>
      </w:pPr>
      <w:r>
        <w:rPr>
          <w:rFonts w:hint="eastAsia" w:ascii="仿宋_GB2312" w:hAnsi="仿宋_GB2312" w:cs="仿宋_GB2312"/>
          <w:color w:val="000000"/>
          <w:sz w:val="30"/>
          <w:szCs w:val="30"/>
        </w:rPr>
        <w:t>实施现代种业创新工程，开展种源“卡脖子”技术攻关。推进农作物、畜禽、水产、农业微生物等农业种质资源系统收集与保护，筛选出一批优质农业种质资源和育种新材料。强化联合育种攻关，育成突破性、综合性状优于省（境）外农作物新品种100个以上，加大地方畜禽遗传资源保护利用力度，提升畜禽品种创新能力，培育畜禽新品种配套系2-3个。实施水产种业创新，培育具有自主知识产权的优良品种，提高主要养殖品种良种覆盖率，推进水产原良种体系建设，培育一批现代渔业种业企业。加快古田食用菌菌种园区（包括菌种科技园）建设，打造成为全国多菌类食用菌的“母种--原种-栽培种”三级菌种供应中心。持续增强良种繁育能力，推进国家区域性茶树苗木和中药材良种繁育基地、省级蔬菜集约化育苗基地等建设，建成一批水稻、两薯、蔬菜、果茶、食用菌、中药材等现代化良种繁育基地。推进科企深度融合，支持种业龙头企业建立健全商业化育种体系。健全完善种业监管与服务体系，新建一批省级作物品种区域试验站、展示评价中心、品种抗性综合鉴定中心和区域性种子质量检测中心，进一步健全种业监管与服务体系。到2025年，良种覆盖率达到98％以上。</w:t>
      </w:r>
    </w:p>
    <w:p>
      <w:pPr>
        <w:pStyle w:val="5"/>
        <w:adjustRightInd w:val="0"/>
        <w:snapToGrid w:val="0"/>
        <w:spacing w:line="596" w:lineRule="exact"/>
        <w:ind w:firstLine="643"/>
        <w:jc w:val="center"/>
        <w:rPr>
          <w:rFonts w:ascii="仿宋_GB2312" w:hAnsi="仿宋_GB2312" w:cs="仿宋_GB2312"/>
          <w:color w:val="000000"/>
          <w:szCs w:val="32"/>
        </w:rPr>
      </w:pPr>
    </w:p>
    <w:tbl>
      <w:tblPr>
        <w:tblStyle w:val="16"/>
        <w:tblW w:w="8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2" w:type="dxa"/>
            <w:noWrap w:val="0"/>
            <w:vAlign w:val="top"/>
          </w:tcPr>
          <w:p>
            <w:pPr>
              <w:ind w:firstLine="0" w:firstLineChars="0"/>
              <w:jc w:val="center"/>
              <w:rPr>
                <w:rFonts w:ascii="楷体_GB2312" w:hAnsi="楷体_GB2312" w:eastAsia="楷体_GB2312" w:cs="楷体_GB2312"/>
                <w:b/>
                <w:color w:val="000000"/>
                <w:sz w:val="28"/>
                <w:szCs w:val="28"/>
              </w:rPr>
            </w:pPr>
            <w:r>
              <w:rPr>
                <w:rFonts w:hint="eastAsia" w:ascii="黑体" w:hAnsi="黑体" w:eastAsia="黑体" w:cs="黑体"/>
                <w:b w:val="0"/>
                <w:bCs/>
                <w:color w:val="000000"/>
                <w:sz w:val="30"/>
                <w:szCs w:val="30"/>
              </w:rPr>
              <w:t>专栏6：特色现代农业种业创新提升行动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2" w:type="dxa"/>
            <w:noWrap w:val="0"/>
            <w:vAlign w:val="top"/>
          </w:tcPr>
          <w:p>
            <w:pPr>
              <w:ind w:firstLine="482"/>
              <w:rPr>
                <w:rFonts w:ascii="仿宋_GB2312" w:hAnsi="仿宋_GB2312" w:cs="仿宋_GB2312"/>
                <w:color w:val="000000"/>
                <w:sz w:val="24"/>
              </w:rPr>
            </w:pPr>
            <w:r>
              <w:rPr>
                <w:rFonts w:hint="eastAsia" w:ascii="仿宋_GB2312" w:hAnsi="仿宋_GB2312" w:cs="仿宋_GB2312"/>
                <w:b/>
                <w:bCs/>
                <w:color w:val="000000"/>
                <w:sz w:val="24"/>
              </w:rPr>
              <w:t>1.实施种业创新与产业化工程。</w:t>
            </w:r>
            <w:r>
              <w:rPr>
                <w:rFonts w:hint="eastAsia" w:ascii="仿宋_GB2312" w:hAnsi="仿宋_GB2312" w:cs="仿宋_GB2312"/>
                <w:color w:val="000000"/>
                <w:sz w:val="24"/>
              </w:rPr>
              <w:t>突出粮食安全、特色优势、闽台融合，以质量、效益为中心，市场为导向，着力提高品种创新能力。鼓励科企联合，重点扶持优质绿色水稻、特色果蔬、食用菌，高产蛋鸭等育种攻关与产业化开发，育成几个具有自主知识产权突破性农业新品种。强化种源“卡脖子”技术攻关，力争尽快育成有突破性成果的新品种。</w:t>
            </w:r>
          </w:p>
          <w:p>
            <w:pPr>
              <w:ind w:firstLine="482"/>
              <w:rPr>
                <w:rFonts w:ascii="仿宋_GB2312" w:hAnsi="仿宋_GB2312" w:cs="仿宋_GB2312"/>
                <w:color w:val="000000"/>
                <w:sz w:val="24"/>
              </w:rPr>
            </w:pPr>
            <w:r>
              <w:rPr>
                <w:rFonts w:hint="eastAsia" w:ascii="仿宋_GB2312" w:hAnsi="仿宋_GB2312" w:cs="仿宋_GB2312"/>
                <w:b/>
                <w:bCs/>
                <w:color w:val="000000"/>
                <w:sz w:val="24"/>
              </w:rPr>
              <w:t>2. 健全种业监管与服务体系。</w:t>
            </w:r>
            <w:r>
              <w:rPr>
                <w:rFonts w:hint="eastAsia" w:ascii="仿宋_GB2312" w:hAnsi="仿宋_GB2312" w:cs="仿宋_GB2312"/>
                <w:color w:val="000000"/>
                <w:sz w:val="24"/>
              </w:rPr>
              <w:t>新建宁德市农科所和福鼎市省级作物品种区域试验站、屏南县旱作品种展示评价中心、宁德市区域性种子质量检测中心，福鼎市、福安市和蕉城区县级种子质量站，进一步健全种业监管与服务体系。</w:t>
            </w:r>
          </w:p>
          <w:p>
            <w:pPr>
              <w:ind w:firstLine="482"/>
              <w:rPr>
                <w:rFonts w:ascii="仿宋_GB2312" w:hAnsi="仿宋_GB2312" w:cs="仿宋_GB2312"/>
                <w:color w:val="000000"/>
                <w:sz w:val="24"/>
              </w:rPr>
            </w:pPr>
            <w:r>
              <w:rPr>
                <w:rFonts w:hint="eastAsia" w:ascii="仿宋_GB2312" w:hAnsi="仿宋_GB2312" w:cs="仿宋_GB2312"/>
                <w:b/>
                <w:bCs/>
                <w:color w:val="000000"/>
                <w:sz w:val="24"/>
              </w:rPr>
              <w:t>3. 特色产业种苗繁育基地建设。</w:t>
            </w:r>
            <w:r>
              <w:rPr>
                <w:rFonts w:hint="eastAsia" w:ascii="仿宋_GB2312" w:hAnsi="仿宋_GB2312" w:cs="仿宋_GB2312"/>
                <w:color w:val="000000"/>
                <w:sz w:val="24"/>
              </w:rPr>
              <w:t>建成50亩蔬菜集约化育苗基地，集约化育供苗率达到40％以上；提升茶树无性系苗木繁育基地，达到年茶苗出圃10亿株；建设1个百香果等果类无病苗圃；建立1个食用菌菌种繁育基地，选育高产优质食用菌菌株1－2个，食用菌国产品种占有率85％以上；建设黄精等中药材良种繁育基地20亩，支持4个国家畜禽核心育种场、原种场、重点扩繁场和畜禽遗传资源保种场改扩建。</w:t>
            </w:r>
          </w:p>
          <w:p>
            <w:pPr>
              <w:ind w:firstLine="482"/>
              <w:rPr>
                <w:rFonts w:ascii="仿宋_GB2312" w:hAnsi="仿宋_GB2312" w:cs="仿宋_GB2312"/>
                <w:color w:val="000000"/>
                <w:kern w:val="0"/>
                <w:sz w:val="24"/>
              </w:rPr>
            </w:pPr>
            <w:r>
              <w:rPr>
                <w:rFonts w:hint="eastAsia" w:ascii="仿宋_GB2312" w:hAnsi="仿宋_GB2312" w:cs="仿宋_GB2312"/>
                <w:b/>
                <w:bCs/>
                <w:color w:val="000000"/>
                <w:sz w:val="24"/>
              </w:rPr>
              <w:t>4.农业种质资源保护与利用。</w:t>
            </w:r>
            <w:r>
              <w:rPr>
                <w:rFonts w:hint="eastAsia" w:ascii="仿宋_GB2312" w:hAnsi="仿宋_GB2312" w:cs="仿宋_GB2312"/>
                <w:color w:val="000000"/>
                <w:sz w:val="24"/>
              </w:rPr>
              <w:t>完善提升现有的各县（市、区）地方野生优异茶树种质资源保护区建设；扩建</w:t>
            </w:r>
            <w:r>
              <w:rPr>
                <w:rFonts w:hint="eastAsia" w:ascii="仿宋_GB2312" w:hAnsi="仿宋_GB2312" w:cs="仿宋_GB2312"/>
                <w:color w:val="000000"/>
                <w:sz w:val="24"/>
                <w:shd w:val="clear" w:color="auto" w:fill="FFFFFF"/>
              </w:rPr>
              <w:t>“中国白茶种质（种子）资源保护基地”</w:t>
            </w:r>
            <w:r>
              <w:rPr>
                <w:rFonts w:hint="eastAsia" w:ascii="仿宋_GB2312" w:hAnsi="仿宋_GB2312" w:cs="仿宋_GB2312"/>
                <w:color w:val="000000"/>
                <w:sz w:val="24"/>
              </w:rPr>
              <w:t>项目建设，</w:t>
            </w:r>
            <w:r>
              <w:rPr>
                <w:rFonts w:hint="eastAsia" w:ascii="仿宋_GB2312" w:hAnsi="仿宋_GB2312" w:cs="仿宋_GB2312"/>
                <w:color w:val="000000"/>
                <w:kern w:val="0"/>
                <w:sz w:val="24"/>
              </w:rPr>
              <w:t>管理保护荒野白茶老树（30年树龄以上）30万株，保护白茶品种60多个，并对其进行有效保护和合理开发利用。健全柘荣太子参种质资源圃，保存全国各地太子参种质资源近50个。</w:t>
            </w:r>
          </w:p>
          <w:p>
            <w:pPr>
              <w:ind w:firstLine="482"/>
              <w:rPr>
                <w:rFonts w:ascii="仿宋_GB2312" w:hAnsi="仿宋_GB2312" w:cs="仿宋_GB2312"/>
                <w:color w:val="000000"/>
                <w:sz w:val="24"/>
              </w:rPr>
            </w:pPr>
            <w:r>
              <w:rPr>
                <w:rFonts w:hint="eastAsia" w:ascii="仿宋_GB2312" w:hAnsi="仿宋_GB2312" w:cs="仿宋_GB2312"/>
                <w:b/>
                <w:bCs/>
                <w:color w:val="000000"/>
                <w:sz w:val="24"/>
              </w:rPr>
              <w:t>5.水产良种繁育。</w:t>
            </w:r>
            <w:r>
              <w:rPr>
                <w:rFonts w:hint="eastAsia" w:ascii="仿宋_GB2312" w:hAnsi="仿宋_GB2312" w:cs="仿宋_GB2312"/>
                <w:color w:val="000000"/>
                <w:sz w:val="24"/>
              </w:rPr>
              <w:t>重点推进大黄鱼、海带、坛紫菜、牡蛎、鲍鱼等特色品种良种化，加快生物育种技术运用，加强国家级大黄鱼良种场、原种场、大黄鱼遗传育种中心、大黄鱼育种国家重点实验室等平台研发能力，以大黄鱼为重点推动我市与东海水产研究所等国内水产科研院所共建水产种业研究院，开展大黄鱼良种选育，力争“十四五”期间选育1-2个大黄鱼良种，培育2家以上渔业种业龙头企业。新建或扩建大黄鱼、鲈鱼、坛紫菜、海带等4个以上水产养殖产业核心品种种质资源库，培育5家国家、省、市级原良种场，建设5家以上良种扩繁示范基地，建立2个健康优质苗种繁育示范区，进一步巩固大黄鱼、坛紫菜等特色优势种业全国领先地位。</w:t>
            </w:r>
          </w:p>
          <w:p>
            <w:pPr>
              <w:ind w:firstLine="482"/>
              <w:rPr>
                <w:rFonts w:ascii="楷体_GB2312" w:hAnsi="楷体_GB2312" w:eastAsia="楷体_GB2312" w:cs="楷体_GB2312"/>
                <w:color w:val="000000"/>
                <w:sz w:val="28"/>
                <w:szCs w:val="28"/>
              </w:rPr>
            </w:pPr>
            <w:r>
              <w:rPr>
                <w:rFonts w:hint="eastAsia" w:ascii="仿宋_GB2312" w:hAnsi="仿宋_GB2312" w:cs="仿宋_GB2312"/>
                <w:b/>
                <w:bCs/>
                <w:color w:val="000000"/>
                <w:sz w:val="24"/>
              </w:rPr>
              <w:t>6.推进林木种质资源保护和利用。</w:t>
            </w:r>
            <w:r>
              <w:rPr>
                <w:rFonts w:hint="eastAsia" w:ascii="仿宋_GB2312" w:hAnsi="仿宋_GB2312" w:cs="仿宋_GB2312"/>
                <w:color w:val="000000"/>
                <w:sz w:val="24"/>
              </w:rPr>
              <w:t>科学建立林木种质资源保育体系和管理体系，提高林业种业基地建设管理水平和良种优苗生产供应能力。到2025年，完成第一次全市林木种质资源普查，续建国家和省重点林木良种基地2处、一般林木良种基地抚育管理2000亩，建设省级保障性苗圃2个并培育珍贵树种和乡土阔叶树种速生优质苗木700万株。</w:t>
            </w:r>
          </w:p>
        </w:tc>
      </w:tr>
    </w:tbl>
    <w:p>
      <w:pPr>
        <w:pStyle w:val="21"/>
        <w:ind w:firstLine="640"/>
      </w:pPr>
    </w:p>
    <w:p>
      <w:pPr>
        <w:pStyle w:val="4"/>
        <w:adjustRightInd w:val="0"/>
        <w:snapToGrid w:val="0"/>
        <w:spacing w:line="540" w:lineRule="exact"/>
        <w:rPr>
          <w:rFonts w:hint="eastAsia" w:ascii="楷体_GB2312" w:hAnsi="楷体_GB2312" w:eastAsia="楷体_GB2312" w:cs="楷体_GB2312"/>
          <w:color w:val="000000"/>
          <w:szCs w:val="32"/>
        </w:rPr>
      </w:pPr>
      <w:bookmarkStart w:id="582" w:name="_Toc207"/>
    </w:p>
    <w:p>
      <w:pPr>
        <w:pStyle w:val="4"/>
        <w:adjustRightInd w:val="0"/>
        <w:snapToGrid w:val="0"/>
        <w:spacing w:line="540" w:lineRule="exact"/>
        <w:rPr>
          <w:rFonts w:ascii="楷体_GB2312" w:hAnsi="楷体_GB2312" w:eastAsia="楷体_GB2312" w:cs="楷体_GB2312"/>
          <w:color w:val="000000"/>
          <w:szCs w:val="32"/>
        </w:rPr>
      </w:pPr>
      <w:r>
        <w:rPr>
          <w:rFonts w:hint="eastAsia" w:ascii="楷体_GB2312" w:hAnsi="楷体_GB2312" w:eastAsia="楷体_GB2312" w:cs="楷体_GB2312"/>
          <w:color w:val="000000"/>
          <w:szCs w:val="32"/>
        </w:rPr>
        <w:t>第二节 打造特色产业规模化</w:t>
      </w:r>
      <w:bookmarkEnd w:id="574"/>
      <w:bookmarkEnd w:id="576"/>
      <w:bookmarkEnd w:id="577"/>
      <w:bookmarkEnd w:id="578"/>
      <w:bookmarkEnd w:id="579"/>
      <w:bookmarkEnd w:id="580"/>
      <w:bookmarkEnd w:id="581"/>
      <w:bookmarkEnd w:id="582"/>
    </w:p>
    <w:p>
      <w:pPr>
        <w:adjustRightInd w:val="0"/>
        <w:snapToGrid w:val="0"/>
        <w:spacing w:line="540" w:lineRule="exact"/>
        <w:ind w:firstLine="600"/>
        <w:rPr>
          <w:color w:val="000000"/>
          <w:sz w:val="30"/>
          <w:szCs w:val="30"/>
        </w:rPr>
      </w:pPr>
    </w:p>
    <w:p>
      <w:pPr>
        <w:adjustRightInd w:val="0"/>
        <w:snapToGrid w:val="0"/>
        <w:spacing w:line="540"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坚持“比较优势，错位发展”原则，重点推进特色现代农业规模化发展，引导土地、资金等要素向特色现代农业集中，发展适度规模经营。加快推进现代农业产业园、农业产业强镇、农村产业融合发展示范园等发展平台建设，积极壮大产业链各环节，培育一批布局集中、资源集约利用、相互融合的产业集聚区。推进宁德特色现代农业产业由点状、块状的分散式布局向集聚式产业集群模式转变，打造以八大特色优势产业为核心，覆盖全市，辐射带动能力强的优势特色产业集群。</w:t>
      </w:r>
      <w:bookmarkStart w:id="583" w:name="_Toc11541"/>
      <w:bookmarkStart w:id="584" w:name="_Toc11909"/>
      <w:bookmarkStart w:id="585" w:name="_Toc8054"/>
      <w:bookmarkStart w:id="586" w:name="_Toc19435"/>
    </w:p>
    <w:p>
      <w:pPr>
        <w:pStyle w:val="21"/>
        <w:adjustRightInd w:val="0"/>
        <w:snapToGrid w:val="0"/>
        <w:spacing w:line="540" w:lineRule="exact"/>
        <w:ind w:firstLine="640"/>
      </w:pPr>
    </w:p>
    <w:p>
      <w:pPr>
        <w:pStyle w:val="4"/>
        <w:adjustRightInd w:val="0"/>
        <w:snapToGrid w:val="0"/>
        <w:spacing w:line="540" w:lineRule="exact"/>
        <w:rPr>
          <w:rFonts w:ascii="楷体_GB2312" w:hAnsi="楷体_GB2312" w:eastAsia="楷体_GB2312" w:cs="楷体_GB2312"/>
          <w:color w:val="000000"/>
          <w:szCs w:val="32"/>
        </w:rPr>
      </w:pPr>
      <w:bookmarkStart w:id="587" w:name="_Toc29455"/>
      <w:bookmarkStart w:id="588" w:name="_Toc13076"/>
      <w:bookmarkStart w:id="589" w:name="_Toc17677"/>
      <w:bookmarkStart w:id="590" w:name="_Toc21029"/>
      <w:r>
        <w:rPr>
          <w:rFonts w:hint="eastAsia" w:ascii="楷体_GB2312" w:hAnsi="楷体_GB2312" w:eastAsia="楷体_GB2312" w:cs="楷体_GB2312"/>
          <w:color w:val="000000"/>
          <w:szCs w:val="32"/>
        </w:rPr>
        <w:t xml:space="preserve">第三节 </w:t>
      </w:r>
      <w:bookmarkEnd w:id="583"/>
      <w:bookmarkEnd w:id="584"/>
      <w:bookmarkEnd w:id="585"/>
      <w:bookmarkEnd w:id="586"/>
      <w:bookmarkEnd w:id="587"/>
      <w:bookmarkStart w:id="591" w:name="_Toc12879"/>
      <w:bookmarkStart w:id="592" w:name="_Toc13953"/>
      <w:bookmarkStart w:id="593" w:name="_Toc17727"/>
      <w:bookmarkStart w:id="594" w:name="_Toc20310"/>
      <w:bookmarkStart w:id="595" w:name="_Toc28426"/>
      <w:r>
        <w:rPr>
          <w:rFonts w:hint="eastAsia" w:ascii="楷体_GB2312" w:hAnsi="楷体_GB2312" w:eastAsia="楷体_GB2312" w:cs="楷体_GB2312"/>
          <w:color w:val="000000"/>
          <w:szCs w:val="32"/>
        </w:rPr>
        <w:t>推进产品品牌化</w:t>
      </w:r>
      <w:bookmarkEnd w:id="588"/>
      <w:bookmarkEnd w:id="589"/>
      <w:bookmarkEnd w:id="590"/>
      <w:bookmarkEnd w:id="591"/>
      <w:bookmarkEnd w:id="592"/>
      <w:bookmarkEnd w:id="593"/>
      <w:bookmarkEnd w:id="594"/>
      <w:bookmarkEnd w:id="595"/>
    </w:p>
    <w:p>
      <w:pPr>
        <w:adjustRightInd w:val="0"/>
        <w:snapToGrid w:val="0"/>
        <w:spacing w:line="540" w:lineRule="exact"/>
        <w:ind w:firstLine="600"/>
        <w:rPr>
          <w:color w:val="000000"/>
          <w:sz w:val="30"/>
          <w:szCs w:val="30"/>
        </w:rPr>
      </w:pPr>
    </w:p>
    <w:p>
      <w:pPr>
        <w:adjustRightInd w:val="0"/>
        <w:snapToGrid w:val="0"/>
        <w:spacing w:line="540" w:lineRule="exact"/>
        <w:ind w:firstLine="601"/>
        <w:rPr>
          <w:rFonts w:ascii="仿宋_GB2312" w:hAnsi="仿宋_GB2312" w:cs="仿宋_GB2312"/>
          <w:color w:val="000000"/>
          <w:sz w:val="30"/>
          <w:szCs w:val="30"/>
        </w:rPr>
      </w:pPr>
      <w:r>
        <w:rPr>
          <w:rFonts w:hint="eastAsia" w:ascii="仿宋_GB2312" w:hAnsi="仿宋_GB2312" w:cs="仿宋_GB2312"/>
          <w:color w:val="000000"/>
          <w:sz w:val="30"/>
          <w:szCs w:val="30"/>
        </w:rPr>
        <w:t>立足宁德依山面海，山海资源丰富，且生物种类繁多的资源优势，在农业品牌的打造上重点突出因地制宜、结合区域特色，遵循“产品品牌—企业品牌—区域公用品牌”的发展路径，依托宁德大黄鱼、福鼎白茶、坦洋工夫、福安巨峰葡萄、柘荣太子参、柘荣高山白茶、寿宁高山乌龙茶、周宁高山云雾茶、古田银耳、屏南高山花菜、屏南李、霞浦海带紫菜等特色老品牌，带动新品牌、小品牌快速成长，发展壮大农产品龙头企业，扩大“0593 宁德号”区域公用品牌影响力。按照“差异化产业+先进性技术”思路，建设区块链溯源体系，实现种养殖、加工、物流、销售到消费各环节可信数字化。结合淘宝、京东等电商平台，实现线上线下双轨运营。</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Cs w:val="32"/>
        </w:rPr>
      </w:pPr>
      <w:bookmarkStart w:id="596" w:name="_Toc27352"/>
      <w:bookmarkStart w:id="597" w:name="_Toc23183"/>
      <w:bookmarkStart w:id="598" w:name="_Toc10794"/>
      <w:bookmarkStart w:id="599" w:name="_Toc28734"/>
      <w:bookmarkStart w:id="600" w:name="_Toc15353"/>
      <w:bookmarkStart w:id="601" w:name="_Toc26876"/>
      <w:bookmarkStart w:id="602" w:name="_Toc23311"/>
      <w:bookmarkStart w:id="603" w:name="_Toc13830"/>
      <w:r>
        <w:rPr>
          <w:rFonts w:hint="eastAsia" w:ascii="楷体_GB2312" w:hAnsi="楷体_GB2312" w:eastAsia="楷体_GB2312" w:cs="楷体_GB2312"/>
          <w:color w:val="000000"/>
          <w:szCs w:val="32"/>
        </w:rPr>
        <w:t>第四节 发展农业数字</w:t>
      </w:r>
      <w:bookmarkEnd w:id="596"/>
      <w:bookmarkEnd w:id="597"/>
      <w:bookmarkEnd w:id="598"/>
      <w:bookmarkEnd w:id="599"/>
      <w:bookmarkEnd w:id="600"/>
      <w:bookmarkEnd w:id="601"/>
      <w:bookmarkEnd w:id="602"/>
      <w:r>
        <w:rPr>
          <w:rFonts w:hint="eastAsia" w:ascii="楷体_GB2312" w:hAnsi="楷体_GB2312" w:eastAsia="楷体_GB2312" w:cs="楷体_GB2312"/>
          <w:color w:val="000000"/>
          <w:szCs w:val="32"/>
        </w:rPr>
        <w:t>化</w:t>
      </w:r>
      <w:bookmarkEnd w:id="603"/>
    </w:p>
    <w:p>
      <w:pPr>
        <w:adjustRightInd w:val="0"/>
        <w:snapToGrid w:val="0"/>
        <w:spacing w:line="596" w:lineRule="exact"/>
        <w:ind w:firstLine="600"/>
        <w:rPr>
          <w:color w:val="000000"/>
          <w:sz w:val="30"/>
          <w:szCs w:val="30"/>
        </w:rPr>
      </w:pPr>
    </w:p>
    <w:p>
      <w:pPr>
        <w:adjustRightInd w:val="0"/>
        <w:snapToGrid w:val="0"/>
        <w:spacing w:line="596" w:lineRule="exact"/>
        <w:ind w:firstLine="600"/>
        <w:rPr>
          <w:rFonts w:hint="eastAsia"/>
          <w:color w:val="000000"/>
          <w:sz w:val="30"/>
          <w:szCs w:val="30"/>
        </w:rPr>
      </w:pPr>
      <w:r>
        <w:rPr>
          <w:rFonts w:hint="eastAsia" w:ascii="仿宋_GB2312" w:hAnsi="仿宋_GB2312" w:cs="仿宋_GB2312"/>
          <w:color w:val="000000"/>
          <w:sz w:val="30"/>
          <w:szCs w:val="30"/>
        </w:rPr>
        <w:t>坚持系统观念，找准特色现代农业服务和融入构建新发展格局中的定位，优化产业结构，加快推动数字产业化、农业产业数字化。大力实施农业智能化提升工程，推广农业物联网、大数据、人工智能、5G等新型基础设施建设和数字化新技术新装备应用。推动种植业数字化技术应用工程、设施蔬菜和花卉苗木数字化提升工程、特色果业数字化工程、食用菌生产智能化控制工程等重点工程。着力构建农业信息服务便捷化体系，推进信息进村入户工程建设，提高农村宽带、光纤、5G、卫星网络等基础设施覆盖面，探索开展数字乡村试点示范。重点利用好福建“农业云131”信息综合服务工程，强化农业农村管理服务信息化标准规范，大力构建“一中心、三应用、一平台”的综合服务体系（即农业大数据资源中心，农业生产服务、经营服务、农产品质量安全服务等三大应用服务，农业农村信息综合服务平台），着力编制涉农信息化资源“一张图”，实现系统互联互通和共建共享。统筹推进数字农业建设发展，鼓励发展众筹农业、定制农业等基于“互联网+”的新业态，创新发展共享农业、云农场等网络经营模式。创建融合电子商务进农村综合示范县，全面推进“互联网+”农产品出村进城工程建设，推动人工智能、大数据赋能农村实体店，全面打通农产品线上线下营销通道</w:t>
      </w:r>
      <w:r>
        <w:rPr>
          <w:rFonts w:hint="eastAsia"/>
          <w:color w:val="000000"/>
          <w:sz w:val="30"/>
          <w:szCs w:val="30"/>
        </w:rPr>
        <w:t>，实现农产品网络化经营。</w:t>
      </w:r>
    </w:p>
    <w:p>
      <w:pPr>
        <w:adjustRightInd w:val="0"/>
        <w:snapToGrid w:val="0"/>
        <w:spacing w:line="596" w:lineRule="exact"/>
        <w:ind w:firstLine="0"/>
        <w:rPr>
          <w:rFonts w:ascii="黑体" w:eastAsia="黑体" w:cs="楷体"/>
          <w:color w:val="000000"/>
          <w:sz w:val="30"/>
          <w:szCs w:val="30"/>
        </w:rPr>
      </w:pPr>
    </w:p>
    <w:tbl>
      <w:tblPr>
        <w:tblStyle w:val="16"/>
        <w:tblW w:w="90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027" w:type="dxa"/>
            <w:noWrap w:val="0"/>
            <w:vAlign w:val="top"/>
          </w:tcPr>
          <w:p>
            <w:pPr>
              <w:spacing w:line="400" w:lineRule="exact"/>
              <w:ind w:firstLine="602"/>
              <w:jc w:val="center"/>
              <w:rPr>
                <w:rFonts w:ascii="楷体_GB2312" w:hAnsi="楷体_GB2312" w:eastAsia="楷体_GB2312" w:cs="楷体_GB2312"/>
                <w:b/>
                <w:bCs/>
                <w:color w:val="000000"/>
                <w:sz w:val="28"/>
                <w:szCs w:val="28"/>
              </w:rPr>
            </w:pPr>
            <w:r>
              <w:rPr>
                <w:rFonts w:hint="eastAsia" w:ascii="仿宋_GB2312" w:hAnsi="仿宋_GB2312" w:cs="仿宋_GB2312"/>
                <w:b/>
                <w:color w:val="000000"/>
                <w:sz w:val="30"/>
                <w:szCs w:val="30"/>
              </w:rPr>
              <w:t>专栏7：特色现代农业生产体系建设行</w:t>
            </w:r>
            <w:bookmarkStart w:id="604" w:name="_Toc9081"/>
            <w:bookmarkStart w:id="605" w:name="_Toc6983"/>
            <w:bookmarkStart w:id="606" w:name="_Toc25952"/>
            <w:bookmarkStart w:id="607" w:name="_Toc24009"/>
            <w:bookmarkStart w:id="608" w:name="_Toc30167"/>
            <w:bookmarkStart w:id="609" w:name="_Toc19802"/>
            <w:bookmarkStart w:id="610" w:name="_Toc10810"/>
            <w:r>
              <w:rPr>
                <w:rFonts w:hint="eastAsia" w:ascii="仿宋_GB2312" w:hAnsi="仿宋_GB2312" w:cs="仿宋_GB2312"/>
                <w:b/>
                <w:color w:val="000000"/>
                <w:sz w:val="30"/>
                <w:szCs w:val="30"/>
              </w:rPr>
              <w:t>动</w:t>
            </w:r>
            <w:bookmarkEnd w:id="604"/>
            <w:bookmarkEnd w:id="605"/>
            <w:bookmarkEnd w:id="606"/>
            <w:bookmarkEnd w:id="607"/>
            <w:bookmarkEnd w:id="608"/>
            <w:bookmarkEnd w:id="609"/>
            <w:bookmarkEnd w:id="6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9027" w:type="dxa"/>
            <w:noWrap w:val="0"/>
            <w:vAlign w:val="top"/>
          </w:tcPr>
          <w:p>
            <w:pPr>
              <w:spacing w:line="480" w:lineRule="exact"/>
              <w:ind w:firstLine="482"/>
              <w:rPr>
                <w:rFonts w:ascii="仿宋_GB2312" w:hAnsi="楷体_GB2312" w:cs="楷体_GB2312"/>
                <w:b/>
                <w:bCs/>
                <w:color w:val="000000"/>
                <w:sz w:val="24"/>
              </w:rPr>
            </w:pPr>
            <w:r>
              <w:rPr>
                <w:rFonts w:hint="eastAsia" w:ascii="仿宋_GB2312" w:hAnsi="楷体_GB2312" w:cs="楷体_GB2312"/>
                <w:b/>
                <w:bCs/>
                <w:color w:val="000000"/>
                <w:sz w:val="24"/>
              </w:rPr>
              <w:t>1.“三品一标”农产品认证工程：</w:t>
            </w:r>
            <w:r>
              <w:rPr>
                <w:rFonts w:hint="eastAsia" w:ascii="仿宋_GB2312" w:hAnsi="楷体_GB2312" w:cs="楷体_GB2312"/>
                <w:color w:val="000000"/>
                <w:sz w:val="24"/>
              </w:rPr>
              <w:t>加快发展“三品一标”农产品，鼓励引导各种农业经营主体开展“三品一标”认证，着力提升认证质量，大力推动区域单品整体“三品”认证，强化产品证后监管，做好证后年检、续展及抽检工作，积极拓展市场服务。到2025年，全市“三品一标”累计认证农产品总量达到500个以上，产品抽检合格率高于全省平均水平。</w:t>
            </w:r>
          </w:p>
          <w:p>
            <w:pPr>
              <w:spacing w:line="480" w:lineRule="exact"/>
              <w:ind w:firstLine="482"/>
              <w:rPr>
                <w:rFonts w:ascii="仿宋_GB2312" w:hAnsi="楷体_GB2312" w:cs="楷体_GB2312"/>
                <w:color w:val="000000"/>
                <w:sz w:val="24"/>
              </w:rPr>
            </w:pPr>
            <w:r>
              <w:rPr>
                <w:rFonts w:hint="eastAsia" w:ascii="仿宋_GB2312" w:hAnsi="楷体_GB2312" w:cs="楷体_GB2312"/>
                <w:b/>
                <w:bCs/>
                <w:color w:val="000000"/>
                <w:sz w:val="24"/>
              </w:rPr>
              <w:t>2.信息进村入户工程：</w:t>
            </w:r>
            <w:r>
              <w:rPr>
                <w:rFonts w:hint="eastAsia" w:ascii="仿宋_GB2312" w:hAnsi="楷体_GB2312" w:cs="楷体_GB2312"/>
                <w:color w:val="000000"/>
                <w:sz w:val="24"/>
              </w:rPr>
              <w:t>推进信息进村入户示范县建设，以县级运营中心为依托，运营好全市1746个益农社，通过专业站、标准站和简易站的不同工作重点，开展好信息、便民、体验和农产品电商服务。积极探索益农信息社长效机制，切实提高农民信息获取能力、增收致富能力、社会参与能力和自我发展能力。</w:t>
            </w:r>
          </w:p>
          <w:p>
            <w:pPr>
              <w:spacing w:line="480" w:lineRule="exact"/>
              <w:ind w:firstLine="482"/>
              <w:rPr>
                <w:rFonts w:ascii="仿宋_GB2312" w:hAnsi="楷体_GB2312" w:cs="楷体_GB2312"/>
                <w:color w:val="000000"/>
                <w:sz w:val="24"/>
              </w:rPr>
            </w:pPr>
            <w:r>
              <w:rPr>
                <w:rFonts w:hint="eastAsia" w:ascii="仿宋_GB2312" w:hAnsi="楷体_GB2312" w:cs="楷体_GB2312"/>
                <w:b/>
                <w:bCs/>
                <w:color w:val="000000"/>
                <w:sz w:val="24"/>
              </w:rPr>
              <w:t>3.“互联网+”农产品出村进城工程：</w:t>
            </w:r>
            <w:r>
              <w:rPr>
                <w:rFonts w:hint="eastAsia" w:ascii="仿宋_GB2312" w:hAnsi="楷体_GB2312" w:cs="楷体_GB2312"/>
                <w:color w:val="000000"/>
                <w:sz w:val="24"/>
              </w:rPr>
              <w:t>实现省级农产品出村进城示范县建设全覆盖，通过示范县建设，全市形成一批具备一定产业化、规模化基础的重点优质特色农产品，形成产销一体化农产品电商供应链，全市农产品网络零售额年均增长10%。</w:t>
            </w:r>
          </w:p>
          <w:p>
            <w:pPr>
              <w:spacing w:line="480" w:lineRule="exact"/>
              <w:ind w:firstLine="482"/>
              <w:rPr>
                <w:rFonts w:ascii="仿宋_GB2312" w:hAnsi="楷体_GB2312" w:cs="楷体_GB2312"/>
                <w:b/>
                <w:bCs/>
                <w:color w:val="000000"/>
                <w:sz w:val="24"/>
              </w:rPr>
            </w:pPr>
            <w:r>
              <w:rPr>
                <w:rFonts w:hint="eastAsia" w:ascii="仿宋_GB2312" w:hAnsi="楷体_GB2312" w:cs="楷体_GB2312"/>
                <w:b/>
                <w:bCs/>
                <w:color w:val="000000"/>
                <w:sz w:val="24"/>
              </w:rPr>
              <w:t>4.农业大数据平台建设工程：</w:t>
            </w:r>
            <w:r>
              <w:rPr>
                <w:rFonts w:hint="eastAsia" w:ascii="仿宋_GB2312" w:hAnsi="楷体_GB2312" w:cs="楷体_GB2312"/>
                <w:color w:val="000000"/>
                <w:sz w:val="24"/>
              </w:rPr>
              <w:t>依托福建“农业云131”工程，加快全市农业数据的开发和利用，形成覆盖全市农业生产、经营、管理、服务以及乡村振兴的大数据，为决策、预警提供有力依据。</w:t>
            </w:r>
          </w:p>
          <w:p>
            <w:pPr>
              <w:spacing w:line="480" w:lineRule="exact"/>
              <w:ind w:firstLine="482"/>
              <w:rPr>
                <w:rFonts w:ascii="楷体_GB2312" w:hAnsi="楷体_GB2312" w:eastAsia="楷体_GB2312" w:cs="楷体_GB2312"/>
                <w:color w:val="000000"/>
                <w:sz w:val="28"/>
                <w:szCs w:val="28"/>
              </w:rPr>
            </w:pPr>
            <w:r>
              <w:rPr>
                <w:rFonts w:hint="eastAsia" w:ascii="仿宋_GB2312" w:hAnsi="楷体_GB2312" w:cs="楷体_GB2312"/>
                <w:b/>
                <w:bCs/>
                <w:color w:val="000000"/>
                <w:sz w:val="24"/>
              </w:rPr>
              <w:t>5.农业生产智能化提升工程：</w:t>
            </w:r>
            <w:r>
              <w:rPr>
                <w:rFonts w:hint="eastAsia" w:ascii="仿宋_GB2312" w:hAnsi="楷体_GB2312" w:cs="楷体_GB2312"/>
                <w:color w:val="000000"/>
                <w:sz w:val="24"/>
              </w:rPr>
              <w:t>加快云计算、5G、大数据、物联网、人工智能、卫星遥感、区块链等技术集成应用，结合现代农业园区、优势产业集群和产业强镇建设，每年建设一批省、市级现代农业智慧园和农业物联网应用基地，引导全市数字农业发展。</w:t>
            </w:r>
          </w:p>
        </w:tc>
      </w:tr>
    </w:tbl>
    <w:p>
      <w:pPr>
        <w:pStyle w:val="9"/>
        <w:ind w:left="0" w:leftChars="0" w:firstLine="640"/>
        <w:rPr>
          <w:color w:val="000000"/>
        </w:rPr>
      </w:pPr>
    </w:p>
    <w:p>
      <w:pPr>
        <w:adjustRightInd w:val="0"/>
        <w:snapToGrid w:val="0"/>
        <w:spacing w:line="596" w:lineRule="exact"/>
        <w:ind w:firstLine="880"/>
      </w:pPr>
      <w:r>
        <w:rPr>
          <w:rFonts w:hint="eastAsia" w:eastAsia="宋体"/>
          <w:color w:val="000000"/>
          <w:sz w:val="44"/>
        </w:rPr>
        <w:br w:type="page"/>
      </w:r>
      <w:bookmarkStart w:id="611" w:name="_Toc5145"/>
      <w:bookmarkStart w:id="612" w:name="_Toc6249"/>
      <w:bookmarkStart w:id="613" w:name="_Toc8613"/>
      <w:bookmarkStart w:id="614" w:name="_Toc14102"/>
      <w:bookmarkStart w:id="615" w:name="_Toc15873"/>
      <w:bookmarkStart w:id="616" w:name="_Toc18507"/>
      <w:bookmarkStart w:id="617" w:name="_Toc24794"/>
    </w:p>
    <w:p>
      <w:pPr>
        <w:pStyle w:val="3"/>
        <w:adjustRightInd w:val="0"/>
        <w:snapToGrid w:val="0"/>
        <w:spacing w:before="0" w:after="0" w:line="596" w:lineRule="exact"/>
        <w:rPr>
          <w:rFonts w:eastAsia="宋体"/>
          <w:b w:val="0"/>
          <w:bCs/>
          <w:color w:val="000000"/>
          <w:sz w:val="32"/>
        </w:rPr>
      </w:pPr>
      <w:bookmarkStart w:id="618" w:name="_Toc1822"/>
      <w:r>
        <w:rPr>
          <w:rFonts w:hint="eastAsia"/>
          <w:b w:val="0"/>
          <w:bCs/>
          <w:color w:val="000000"/>
          <w:sz w:val="32"/>
        </w:rPr>
        <w:t>第七章 构建特色现代农业经营体系</w:t>
      </w:r>
      <w:bookmarkEnd w:id="611"/>
      <w:bookmarkEnd w:id="612"/>
      <w:bookmarkEnd w:id="613"/>
      <w:bookmarkEnd w:id="614"/>
      <w:bookmarkEnd w:id="615"/>
      <w:bookmarkEnd w:id="616"/>
      <w:bookmarkEnd w:id="617"/>
      <w:bookmarkEnd w:id="618"/>
    </w:p>
    <w:p>
      <w:pPr>
        <w:adjustRightInd w:val="0"/>
        <w:snapToGrid w:val="0"/>
        <w:spacing w:line="596" w:lineRule="exact"/>
        <w:ind w:firstLine="640"/>
      </w:pPr>
      <w:bookmarkStart w:id="619" w:name="_Toc16813"/>
      <w:bookmarkStart w:id="620" w:name="_Toc21787"/>
      <w:bookmarkStart w:id="621" w:name="_Toc25854"/>
      <w:bookmarkStart w:id="622" w:name="_Toc26293"/>
      <w:bookmarkStart w:id="623" w:name="_Toc15272"/>
      <w:bookmarkStart w:id="624" w:name="_Toc11110"/>
      <w:bookmarkStart w:id="625" w:name="_Toc13711"/>
    </w:p>
    <w:p>
      <w:pPr>
        <w:pStyle w:val="4"/>
        <w:adjustRightInd w:val="0"/>
        <w:snapToGrid w:val="0"/>
        <w:spacing w:line="596" w:lineRule="exact"/>
        <w:rPr>
          <w:rFonts w:ascii="楷体_GB2312" w:hAnsi="楷体_GB2312" w:eastAsia="楷体_GB2312" w:cs="楷体_GB2312"/>
          <w:color w:val="000000"/>
          <w:szCs w:val="32"/>
        </w:rPr>
      </w:pPr>
      <w:bookmarkStart w:id="626" w:name="_Toc20599"/>
      <w:r>
        <w:rPr>
          <w:rFonts w:hint="eastAsia" w:ascii="楷体_GB2312" w:hAnsi="楷体_GB2312" w:eastAsia="楷体_GB2312" w:cs="楷体_GB2312"/>
          <w:color w:val="000000"/>
          <w:szCs w:val="32"/>
        </w:rPr>
        <w:t>第一节 加快培育发展家庭农场</w:t>
      </w:r>
      <w:bookmarkEnd w:id="619"/>
      <w:bookmarkEnd w:id="620"/>
      <w:bookmarkEnd w:id="621"/>
      <w:bookmarkEnd w:id="622"/>
      <w:bookmarkEnd w:id="623"/>
      <w:bookmarkEnd w:id="624"/>
      <w:bookmarkEnd w:id="625"/>
      <w:bookmarkEnd w:id="626"/>
    </w:p>
    <w:p>
      <w:pPr>
        <w:adjustRightInd w:val="0"/>
        <w:snapToGrid w:val="0"/>
        <w:spacing w:line="596" w:lineRule="exact"/>
        <w:ind w:firstLine="600"/>
        <w:rPr>
          <w:color w:val="000000"/>
          <w:sz w:val="30"/>
          <w:szCs w:val="30"/>
        </w:rPr>
      </w:pP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一是完善家庭农场名录管理制度。推动各县（市、区）建立家庭农场名录管理制度。健全家庭农场名录系统，及时把名录管理的家庭农场纳入系统，实现随时填报、动态更新和精准服务；二是加大家庭农场示范创建力度。加强示范引导，组织开展家庭农场典型案例征集活动，宣传推介一批家庭农场典型案例；三是强化家庭农场指导服务扶持。强化家庭农场示范培训，提高家庭农场经营管理水平和示范带动能力；四是鼓励组建家庭农场协会或联盟。立足宁德市八大特色优势产业，有序组建一批带动能力突出、示范效应明显的家庭农场协会或联盟。到2025年，全市家庭农场总量超过3500家，县级以上示范家庭农场达到700家。</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Cs w:val="32"/>
        </w:rPr>
      </w:pPr>
      <w:bookmarkStart w:id="627" w:name="_Toc31847"/>
      <w:bookmarkStart w:id="628" w:name="_Toc9665"/>
      <w:bookmarkStart w:id="629" w:name="_Toc18872"/>
      <w:bookmarkStart w:id="630" w:name="_Toc24400"/>
      <w:bookmarkStart w:id="631" w:name="_Toc29230"/>
      <w:bookmarkStart w:id="632" w:name="_Toc13157"/>
      <w:bookmarkStart w:id="633" w:name="_Toc7996"/>
      <w:bookmarkStart w:id="634" w:name="_Toc30502"/>
      <w:r>
        <w:rPr>
          <w:rFonts w:hint="eastAsia" w:ascii="楷体_GB2312" w:hAnsi="楷体_GB2312" w:eastAsia="楷体_GB2312" w:cs="楷体_GB2312"/>
          <w:color w:val="000000"/>
          <w:szCs w:val="32"/>
        </w:rPr>
        <w:t>第二节 促进农民合作社规范提升</w:t>
      </w:r>
      <w:bookmarkEnd w:id="627"/>
      <w:bookmarkEnd w:id="628"/>
      <w:bookmarkEnd w:id="629"/>
      <w:bookmarkEnd w:id="630"/>
      <w:bookmarkEnd w:id="631"/>
      <w:bookmarkEnd w:id="632"/>
      <w:bookmarkEnd w:id="633"/>
      <w:bookmarkEnd w:id="634"/>
    </w:p>
    <w:p>
      <w:pPr>
        <w:adjustRightInd w:val="0"/>
        <w:snapToGrid w:val="0"/>
        <w:spacing w:line="596" w:lineRule="exact"/>
        <w:ind w:firstLine="600"/>
        <w:rPr>
          <w:color w:val="000000"/>
          <w:sz w:val="30"/>
          <w:szCs w:val="30"/>
        </w:rPr>
      </w:pPr>
    </w:p>
    <w:p>
      <w:pPr>
        <w:adjustRightInd w:val="0"/>
        <w:snapToGrid w:val="0"/>
        <w:spacing w:line="596" w:lineRule="exact"/>
        <w:ind w:firstLine="600"/>
        <w:rPr>
          <w:color w:val="000000"/>
          <w:sz w:val="30"/>
          <w:szCs w:val="30"/>
        </w:rPr>
      </w:pPr>
      <w:r>
        <w:rPr>
          <w:rFonts w:hint="eastAsia" w:ascii="仿宋_GB2312" w:hAnsi="仿宋_GB2312" w:cs="仿宋_GB2312"/>
          <w:color w:val="000000"/>
          <w:sz w:val="30"/>
          <w:szCs w:val="30"/>
        </w:rPr>
        <w:t>组织实施农民合作社规范提升行动，开展国家、省、市、县级示范社四级联创，每个县（市、区）每年重点培育数量占现有农民合作社3%以上，“十四五”期间新培育500家县级以上示范社；鼓励以产业为依托开展同业联合、以服务为纽带开展同域联</w:t>
      </w:r>
      <w:r>
        <w:rPr>
          <w:rFonts w:hint="eastAsia"/>
          <w:color w:val="000000"/>
          <w:sz w:val="30"/>
          <w:szCs w:val="30"/>
        </w:rPr>
        <w:t>合，每个</w:t>
      </w:r>
      <w:r>
        <w:rPr>
          <w:rFonts w:hint="eastAsia" w:ascii="仿宋_GB2312" w:hAnsi="仿宋_GB2312" w:cs="仿宋_GB2312"/>
          <w:color w:val="000000"/>
          <w:sz w:val="30"/>
          <w:szCs w:val="30"/>
        </w:rPr>
        <w:t>县（市、区）每年新培育1家以上合作社联合社；指导9县（市、区）分别推进国家级（福安市、寿宁县）、省级（其他7个）农民合作社质量提升整县试点工作，聚焦解决发展壮大单体农民合作社、促进联合与合作、提升县域指导扶持服务能力等内容；加强合作社人才队伍建设，重点提升合作社带头人管理水平和业务素质</w:t>
      </w:r>
      <w:r>
        <w:rPr>
          <w:rFonts w:hint="eastAsia"/>
          <w:color w:val="000000"/>
          <w:sz w:val="30"/>
          <w:szCs w:val="30"/>
        </w:rPr>
        <w:t>；加强财政、税收、金融、用地等要素保障，重点支持县级以上示范社扩大规模、创建品牌、引进技术、促进产销。</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Cs w:val="32"/>
        </w:rPr>
      </w:pPr>
      <w:bookmarkStart w:id="635" w:name="_Toc9087"/>
      <w:bookmarkStart w:id="636" w:name="_Toc22688"/>
      <w:bookmarkStart w:id="637" w:name="_Toc16951"/>
      <w:bookmarkStart w:id="638" w:name="_Toc20851"/>
      <w:bookmarkStart w:id="639" w:name="_Toc22147"/>
      <w:bookmarkStart w:id="640" w:name="_Toc20593"/>
      <w:bookmarkStart w:id="641" w:name="_Toc26992"/>
      <w:bookmarkStart w:id="642" w:name="_Toc24828"/>
      <w:r>
        <w:rPr>
          <w:rFonts w:hint="eastAsia" w:ascii="楷体_GB2312" w:hAnsi="楷体_GB2312" w:eastAsia="楷体_GB2312" w:cs="楷体_GB2312"/>
          <w:color w:val="000000"/>
          <w:szCs w:val="32"/>
        </w:rPr>
        <w:t>第三节 发展壮大农业龙头企业</w:t>
      </w:r>
      <w:bookmarkEnd w:id="635"/>
      <w:bookmarkEnd w:id="636"/>
      <w:bookmarkEnd w:id="637"/>
      <w:bookmarkEnd w:id="638"/>
      <w:bookmarkEnd w:id="639"/>
      <w:bookmarkEnd w:id="640"/>
      <w:bookmarkEnd w:id="641"/>
      <w:bookmarkEnd w:id="642"/>
    </w:p>
    <w:p>
      <w:pPr>
        <w:adjustRightInd w:val="0"/>
        <w:snapToGrid w:val="0"/>
        <w:spacing w:line="596" w:lineRule="exact"/>
        <w:ind w:firstLine="640"/>
      </w:pP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实施龙头牵引行动，大力培育农业产业化龙头企业和农业产业化联合体。加大政策扶持，培植一批骨干龙头企业，支持龙头企业上市、组建大型企业集团。支持龙头企业自建标准化生产及原料基地，延伸建设农产品产地初加工中心、冷链物流、产品营销和服务网络，扩大生产规模，打造全产业链产业龙头。鼓励龙头企业开展质量管理体系认证、“三品一标”认证，打造知名品牌，提高市场竞争力。支持有条件的龙头企业走“专精特新”的技术攻关道路，培育一批创新能力强、市场竞争力突出的科技型企业和创新型企业。</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Cs w:val="32"/>
        </w:rPr>
      </w:pPr>
      <w:bookmarkStart w:id="643" w:name="_Toc22198"/>
      <w:bookmarkStart w:id="644" w:name="_Toc9143"/>
      <w:bookmarkStart w:id="645" w:name="_Toc4135"/>
      <w:bookmarkStart w:id="646" w:name="_Toc19064"/>
      <w:bookmarkStart w:id="647" w:name="_Toc27718"/>
      <w:bookmarkStart w:id="648" w:name="_Toc26234"/>
      <w:bookmarkStart w:id="649" w:name="_Toc29484"/>
      <w:bookmarkStart w:id="650" w:name="_Toc26595"/>
      <w:r>
        <w:rPr>
          <w:rFonts w:hint="eastAsia" w:ascii="楷体_GB2312" w:hAnsi="楷体_GB2312" w:eastAsia="楷体_GB2312" w:cs="楷体_GB2312"/>
          <w:color w:val="000000"/>
          <w:szCs w:val="32"/>
        </w:rPr>
        <w:t>第四节 推进小农户与特色现代农业有机衔接</w:t>
      </w:r>
      <w:bookmarkEnd w:id="643"/>
      <w:bookmarkEnd w:id="644"/>
      <w:bookmarkEnd w:id="645"/>
      <w:bookmarkEnd w:id="646"/>
      <w:bookmarkEnd w:id="647"/>
      <w:bookmarkEnd w:id="648"/>
      <w:bookmarkEnd w:id="649"/>
      <w:bookmarkEnd w:id="650"/>
    </w:p>
    <w:p>
      <w:pPr>
        <w:adjustRightInd w:val="0"/>
        <w:snapToGrid w:val="0"/>
        <w:spacing w:line="596" w:lineRule="exact"/>
        <w:ind w:firstLine="600"/>
        <w:rPr>
          <w:color w:val="000000"/>
          <w:sz w:val="30"/>
          <w:szCs w:val="30"/>
        </w:rPr>
      </w:pPr>
    </w:p>
    <w:p>
      <w:pPr>
        <w:adjustRightInd w:val="0"/>
        <w:snapToGrid w:val="0"/>
        <w:spacing w:line="596" w:lineRule="exact"/>
        <w:ind w:firstLine="600"/>
        <w:rPr>
          <w:rFonts w:ascii="仿宋_GB2312" w:hAnsi="仿宋_GB2312" w:cs="仿宋_GB2312"/>
          <w:color w:val="000000"/>
          <w:sz w:val="30"/>
          <w:szCs w:val="30"/>
        </w:rPr>
      </w:pPr>
      <w:r>
        <w:rPr>
          <w:rFonts w:hint="eastAsia"/>
          <w:color w:val="000000"/>
          <w:sz w:val="30"/>
          <w:szCs w:val="30"/>
        </w:rPr>
        <w:t>立足宁德市山海资源与高山优势，针对小农户面对大市场的实质性问题，依托种养大户、合作社、家庭农场、产业基地等，以龙头</w:t>
      </w:r>
      <w:r>
        <w:rPr>
          <w:rFonts w:hint="eastAsia" w:ascii="仿宋_GB2312" w:hAnsi="仿宋_GB2312" w:cs="仿宋_GB2312"/>
          <w:color w:val="000000"/>
          <w:sz w:val="30"/>
          <w:szCs w:val="30"/>
        </w:rPr>
        <w:t>企业以下的经营主体为主导，发挥小农户劳动时间足、可塑性高、适应力强的特点，探索“小院制”农业，以产业小院为抓手，深度拓展农业的多功能性，将小院建设在农村和农业生产第一线，与农民、企业和政府“零距离”开展科技创新、技术服务和人才培养等多方面服务，培育农户增产增效的新模式。到2025年，以特色优势产业为基础，争取建设一批产业小院，推动特色现代农业产业化发展，促进小农户与特色现代农业发展有机衔接。</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Cs w:val="32"/>
        </w:rPr>
      </w:pPr>
      <w:bookmarkStart w:id="651" w:name="_Toc2823"/>
      <w:bookmarkStart w:id="652" w:name="_Toc26797"/>
      <w:bookmarkStart w:id="653" w:name="_Toc31213"/>
      <w:bookmarkStart w:id="654" w:name="_Toc28203"/>
      <w:bookmarkStart w:id="655" w:name="_Toc6975"/>
      <w:bookmarkStart w:id="656" w:name="_Toc30651"/>
      <w:bookmarkStart w:id="657" w:name="_Toc16613"/>
      <w:bookmarkStart w:id="658" w:name="_Toc25110"/>
      <w:r>
        <w:rPr>
          <w:rFonts w:hint="eastAsia" w:ascii="楷体_GB2312" w:hAnsi="楷体_GB2312" w:eastAsia="楷体_GB2312" w:cs="楷体_GB2312"/>
          <w:color w:val="000000"/>
          <w:szCs w:val="32"/>
        </w:rPr>
        <w:t>第五节 加强高素质农民培养</w:t>
      </w:r>
      <w:bookmarkEnd w:id="651"/>
      <w:bookmarkEnd w:id="652"/>
      <w:bookmarkEnd w:id="653"/>
      <w:bookmarkEnd w:id="654"/>
      <w:bookmarkEnd w:id="655"/>
      <w:bookmarkEnd w:id="656"/>
      <w:bookmarkEnd w:id="657"/>
      <w:bookmarkEnd w:id="658"/>
    </w:p>
    <w:p>
      <w:pPr>
        <w:adjustRightInd w:val="0"/>
        <w:snapToGrid w:val="0"/>
        <w:spacing w:line="596" w:lineRule="exact"/>
        <w:ind w:firstLine="600"/>
        <w:rPr>
          <w:color w:val="000000"/>
          <w:sz w:val="30"/>
          <w:szCs w:val="30"/>
        </w:rPr>
      </w:pP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积极开展高素质农民培育工作，探索形成适应不同产业和不同地区发展需要的有效教育培训模式，构建教育培训、认定管理、政策扶持“三位一体”的高素质培育制度，每年培训1万人次左右，推进高素质与扶持政策挂钩，支持高素质发展生产和提高生产经营效益。依托省内农业高等院校，每年选送150名左右青壮年农民和有志从事农业生产经营的农村高中毕业生参加专科学历教育。加强典型宣传，推行产学研用联合培养，通过定向委培、校企共建等方式，为特色现代农业的发展提供坚实的人力基础和智力支撑。</w:t>
      </w:r>
    </w:p>
    <w:p>
      <w:pPr>
        <w:ind w:firstLine="0"/>
      </w:pPr>
    </w:p>
    <w:p>
      <w:pPr>
        <w:ind w:firstLine="0"/>
      </w:pPr>
    </w:p>
    <w:p>
      <w:pPr>
        <w:ind w:firstLine="0"/>
      </w:pPr>
    </w:p>
    <w:tbl>
      <w:tblPr>
        <w:tblStyle w:val="16"/>
        <w:tblW w:w="90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2" w:type="dxa"/>
            <w:noWrap w:val="0"/>
            <w:vAlign w:val="top"/>
          </w:tcPr>
          <w:p>
            <w:pPr>
              <w:spacing w:beforeLines="50" w:line="360" w:lineRule="exact"/>
              <w:ind w:firstLine="602"/>
              <w:jc w:val="center"/>
              <w:rPr>
                <w:rFonts w:ascii="楷体" w:hAnsi="楷体" w:eastAsia="楷体" w:cs="楷体"/>
                <w:b/>
                <w:bCs/>
                <w:color w:val="000000"/>
                <w:sz w:val="28"/>
                <w:szCs w:val="28"/>
              </w:rPr>
            </w:pPr>
            <w:r>
              <w:rPr>
                <w:rFonts w:hint="eastAsia" w:ascii="仿宋_GB2312" w:hAnsi="仿宋_GB2312" w:cs="仿宋_GB2312"/>
                <w:b/>
                <w:color w:val="000000"/>
                <w:sz w:val="30"/>
                <w:szCs w:val="30"/>
              </w:rPr>
              <w:t>专栏8：特色现代农业经营体系培育行动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2" w:type="dxa"/>
            <w:noWrap w:val="0"/>
            <w:vAlign w:val="top"/>
          </w:tcPr>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1.农业产业化龙头企业培育工程:</w:t>
            </w:r>
            <w:r>
              <w:rPr>
                <w:rFonts w:hint="eastAsia" w:ascii="仿宋_GB2312" w:hAnsi="仿宋_GB2312" w:cs="仿宋_GB2312"/>
                <w:color w:val="000000"/>
                <w:sz w:val="24"/>
              </w:rPr>
              <w:t>培育壮大农业产业化龙头企业和农业产业化联合体，扶持发展一批运行能力强、规模大的龙头企业。到2025年，力争培育市级以上龙头企业500家。</w:t>
            </w:r>
          </w:p>
          <w:p>
            <w:pPr>
              <w:spacing w:line="460" w:lineRule="exact"/>
              <w:ind w:firstLine="482"/>
              <w:rPr>
                <w:rFonts w:ascii="仿宋_GB2312" w:hAnsi="仿宋_GB2312" w:cs="仿宋_GB2312"/>
                <w:color w:val="000000"/>
                <w:sz w:val="24"/>
              </w:rPr>
            </w:pPr>
            <w:r>
              <w:rPr>
                <w:rFonts w:hint="eastAsia" w:ascii="仿宋_GB2312" w:hAnsi="仿宋_GB2312" w:cs="仿宋_GB2312"/>
                <w:b/>
                <w:bCs/>
                <w:color w:val="000000"/>
                <w:sz w:val="24"/>
              </w:rPr>
              <w:t>2.新型农业经营主体培育工程:</w:t>
            </w:r>
            <w:r>
              <w:rPr>
                <w:rFonts w:hint="eastAsia" w:ascii="仿宋_GB2312" w:hAnsi="仿宋_GB2312" w:cs="仿宋_GB2312"/>
                <w:color w:val="000000"/>
                <w:sz w:val="24"/>
              </w:rPr>
              <w:t>培育农业新型经营主体，引导发展多种形式适度规模经营。扶持发展专业大户，加快培育家庭农场，提升壮大农民合作社，做强做大龙头企业。到2025年，力争累计培育合作社联社50家，省级示范社100家、市级示范社200家。力争省级示范家庭农场达到296家、市级示范家庭农场达到347家。</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3.乡土人才培育工程：</w:t>
            </w:r>
            <w:r>
              <w:rPr>
                <w:rFonts w:hint="eastAsia" w:ascii="仿宋_GB2312" w:hAnsi="仿宋_GB2312" w:cs="仿宋_GB2312"/>
                <w:color w:val="000000"/>
                <w:sz w:val="24"/>
              </w:rPr>
              <w:t>开展乡土人才示范培训，培育一批“土专家”、“田秀才”、产业发展带头人和农村电商人才，扶持一批农业职业经理人、经纪人，培养一批乡村工匠、文化能人和非遗传承人。</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4.农村创业创新工程：</w:t>
            </w:r>
            <w:r>
              <w:rPr>
                <w:rFonts w:hint="eastAsia" w:ascii="仿宋_GB2312" w:hAnsi="仿宋_GB2312" w:cs="仿宋_GB2312"/>
                <w:color w:val="000000"/>
                <w:sz w:val="24"/>
              </w:rPr>
              <w:t>实施农村创新创业带头人培育行动，整合渠道培育一批农村双创人员和双创导师。支持本地农民兴业创业，引导农民工在青壮年时返乡创业，建立一批创业创新园区（基地）、孵化园（基地）、实训基地，开展返乡下乡创业培训，将返乡创业农民工纳入一次性创业补贴范围。</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5.高素质农民培育工程：</w:t>
            </w:r>
            <w:r>
              <w:rPr>
                <w:rFonts w:hint="eastAsia" w:ascii="仿宋_GB2312" w:hAnsi="仿宋_GB2312" w:cs="仿宋_GB2312"/>
                <w:color w:val="000000"/>
                <w:sz w:val="24"/>
              </w:rPr>
              <w:t>构建立体化培训格局，市县两级分层分类实施培育工作，形成适应不同层次、不同产业和不同地区发展需要的高素质农民培育模式，到2025年培训高素质农民5万人</w:t>
            </w:r>
            <w:r>
              <w:rPr>
                <w:rFonts w:hint="eastAsia" w:ascii="仿宋_GB2312" w:hAnsi="仿宋_GB2312" w:cs="仿宋_GB2312"/>
                <w:b/>
                <w:bCs/>
                <w:color w:val="000000"/>
                <w:sz w:val="24"/>
              </w:rPr>
              <w:t>。</w:t>
            </w:r>
          </w:p>
          <w:p>
            <w:pPr>
              <w:spacing w:line="460" w:lineRule="exact"/>
              <w:ind w:firstLine="482"/>
              <w:rPr>
                <w:color w:val="000000"/>
              </w:rPr>
            </w:pPr>
            <w:r>
              <w:rPr>
                <w:rFonts w:hint="eastAsia" w:ascii="仿宋_GB2312" w:hAnsi="仿宋_GB2312" w:cs="仿宋_GB2312"/>
                <w:b/>
                <w:bCs/>
                <w:color w:val="000000"/>
                <w:sz w:val="24"/>
              </w:rPr>
              <w:t>6.产业小院创建工程：</w:t>
            </w:r>
            <w:r>
              <w:rPr>
                <w:rFonts w:hint="eastAsia" w:ascii="仿宋_GB2312" w:hAnsi="仿宋_GB2312" w:cs="仿宋_GB2312"/>
                <w:color w:val="000000"/>
                <w:sz w:val="24"/>
              </w:rPr>
              <w:t>按照“一个基地、一套技术、一个实体、一组产品、一种文化”的要求（一个基地，即具有独立的生产单元，实施绿色生产、管理；一套技术，即具有一套促进农业多功能性开发、产品、生产、生态保护和环境优化的技术措施，采用的实用技术或专利不少于2项；一个实体，即具有独立法人资质、依法登记注册的新型农业经营主体；一组产品，即具有1个注册商标，能面向市场提供2种及以上的产品或服务；一种文化，即具有独立的生产经营或发展理念，已初步形成独特的、异质性的微文化，并具有一定的市场认同度），推进集生产、科研、休闲、旅游、文化为一体的产业小院建设。</w:t>
            </w:r>
          </w:p>
        </w:tc>
      </w:tr>
    </w:tbl>
    <w:p>
      <w:pPr>
        <w:pStyle w:val="3"/>
        <w:adjustRightInd w:val="0"/>
        <w:snapToGrid w:val="0"/>
        <w:spacing w:before="0" w:after="0" w:line="596" w:lineRule="exact"/>
        <w:rPr>
          <w:rFonts w:hint="eastAsia" w:ascii="仿宋_GB2312" w:hAnsi="仿宋_GB2312" w:eastAsia="仿宋_GB2312" w:cs="仿宋_GB2312"/>
          <w:color w:val="000000"/>
          <w:sz w:val="28"/>
          <w:szCs w:val="24"/>
        </w:rPr>
      </w:pPr>
      <w:r>
        <w:rPr>
          <w:rFonts w:hint="eastAsia"/>
          <w:color w:val="000000"/>
        </w:rPr>
        <w:br w:type="page"/>
      </w:r>
      <w:bookmarkStart w:id="659" w:name="_Toc10486"/>
      <w:bookmarkStart w:id="660" w:name="_Toc20098"/>
      <w:bookmarkStart w:id="661" w:name="_Toc31704"/>
      <w:bookmarkStart w:id="662" w:name="_Toc5121"/>
      <w:bookmarkStart w:id="663" w:name="_Toc26078"/>
      <w:bookmarkStart w:id="664" w:name="_Toc18375"/>
      <w:bookmarkStart w:id="665" w:name="_Toc5667"/>
      <w:bookmarkStart w:id="666" w:name="_Toc22648"/>
    </w:p>
    <w:p>
      <w:pPr>
        <w:pStyle w:val="3"/>
        <w:adjustRightInd w:val="0"/>
        <w:snapToGrid w:val="0"/>
        <w:spacing w:before="0" w:after="0" w:line="596" w:lineRule="exact"/>
        <w:rPr>
          <w:b w:val="0"/>
          <w:bCs/>
          <w:color w:val="000000"/>
          <w:sz w:val="32"/>
        </w:rPr>
      </w:pPr>
      <w:r>
        <w:rPr>
          <w:rFonts w:hint="eastAsia"/>
          <w:b w:val="0"/>
          <w:bCs/>
          <w:color w:val="000000"/>
          <w:sz w:val="32"/>
        </w:rPr>
        <w:t>第八章  推进“三产三新三链”融合发展</w:t>
      </w:r>
      <w:bookmarkEnd w:id="659"/>
      <w:bookmarkEnd w:id="660"/>
      <w:bookmarkEnd w:id="661"/>
      <w:bookmarkEnd w:id="662"/>
      <w:bookmarkEnd w:id="663"/>
      <w:bookmarkEnd w:id="664"/>
      <w:bookmarkEnd w:id="665"/>
      <w:bookmarkEnd w:id="666"/>
    </w:p>
    <w:p>
      <w:pPr>
        <w:adjustRightInd w:val="0"/>
        <w:snapToGrid w:val="0"/>
        <w:spacing w:line="596" w:lineRule="exact"/>
        <w:ind w:firstLine="600"/>
        <w:rPr>
          <w:rFonts w:ascii="楷体_GB2312" w:hAnsi="楷体_GB2312" w:eastAsia="楷体_GB2312" w:cs="楷体_GB2312"/>
          <w:color w:val="000000"/>
          <w:sz w:val="30"/>
          <w:szCs w:val="30"/>
        </w:rPr>
      </w:pPr>
      <w:bookmarkStart w:id="667" w:name="_Toc8966"/>
      <w:bookmarkStart w:id="668" w:name="_Toc11134"/>
      <w:bookmarkStart w:id="669" w:name="_Toc1117"/>
      <w:bookmarkStart w:id="670" w:name="_Toc15614"/>
      <w:bookmarkStart w:id="671" w:name="_Toc26236"/>
      <w:bookmarkStart w:id="672" w:name="_Toc15933"/>
      <w:bookmarkStart w:id="673" w:name="_Toc4517"/>
    </w:p>
    <w:p>
      <w:pPr>
        <w:pStyle w:val="4"/>
        <w:adjustRightInd w:val="0"/>
        <w:snapToGrid w:val="0"/>
        <w:spacing w:line="596" w:lineRule="exact"/>
        <w:rPr>
          <w:rFonts w:ascii="楷体_GB2312" w:hAnsi="楷体_GB2312" w:eastAsia="楷体_GB2312" w:cs="楷体_GB2312"/>
          <w:color w:val="000000"/>
          <w:szCs w:val="32"/>
        </w:rPr>
      </w:pPr>
      <w:bookmarkStart w:id="674" w:name="_Toc28052"/>
      <w:r>
        <w:rPr>
          <w:rFonts w:hint="eastAsia" w:ascii="楷体_GB2312" w:hAnsi="楷体_GB2312" w:eastAsia="楷体_GB2312" w:cs="楷体_GB2312"/>
          <w:color w:val="000000"/>
          <w:szCs w:val="32"/>
        </w:rPr>
        <w:t>第一节 提升农产品加工水平</w:t>
      </w:r>
      <w:bookmarkEnd w:id="667"/>
      <w:bookmarkEnd w:id="668"/>
      <w:bookmarkEnd w:id="669"/>
      <w:bookmarkEnd w:id="670"/>
      <w:bookmarkEnd w:id="671"/>
      <w:bookmarkEnd w:id="672"/>
      <w:bookmarkEnd w:id="673"/>
      <w:bookmarkEnd w:id="674"/>
    </w:p>
    <w:p>
      <w:pPr>
        <w:adjustRightInd w:val="0"/>
        <w:snapToGrid w:val="0"/>
        <w:spacing w:line="596" w:lineRule="exact"/>
        <w:ind w:firstLine="600"/>
        <w:rPr>
          <w:color w:val="000000"/>
          <w:sz w:val="30"/>
          <w:szCs w:val="30"/>
        </w:rPr>
      </w:pP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统筹推进农产品初加工、精深加工和综合利用发展，组织实施农产品加工提升行动计划。按照“县级主导，乡镇配合”的原则，建立特色优势农产品和粮食加工增值基地，促进宁德市特色现代农业的发展。县（市、区）一级，明确区域发展的优势主导产业，引导企业向基地集中、生产要素向基地流动，推动建成规模大、科技水平高、带动力强的核心加工增值基地；乡镇一级，立足区域优势主导产业发展态势，做好农产品原材料绿色化、标准化供给。</w:t>
      </w:r>
    </w:p>
    <w:p>
      <w:pPr>
        <w:adjustRightInd w:val="0"/>
        <w:snapToGrid w:val="0"/>
        <w:spacing w:line="596" w:lineRule="exact"/>
        <w:ind w:firstLine="600"/>
        <w:rPr>
          <w:rFonts w:ascii="仿宋_GB2312" w:hAnsi="仿宋_GB2312" w:cs="仿宋_GB2312"/>
          <w:color w:val="000000"/>
          <w:sz w:val="30"/>
          <w:szCs w:val="30"/>
        </w:rPr>
      </w:pPr>
      <w:r>
        <w:rPr>
          <w:rFonts w:hint="eastAsia" w:ascii="黑体" w:hAnsi="黑体" w:eastAsia="黑体" w:cs="黑体"/>
          <w:color w:val="000000"/>
          <w:sz w:val="30"/>
          <w:szCs w:val="30"/>
          <w:lang w:eastAsia="zh-CN"/>
        </w:rPr>
        <w:t>一、</w:t>
      </w:r>
      <w:r>
        <w:rPr>
          <w:rFonts w:hint="eastAsia" w:ascii="黑体" w:hAnsi="黑体" w:eastAsia="黑体" w:cs="黑体"/>
          <w:color w:val="000000"/>
          <w:sz w:val="30"/>
          <w:szCs w:val="30"/>
        </w:rPr>
        <w:t>粮食加工增值基地</w:t>
      </w:r>
      <w:r>
        <w:rPr>
          <w:rFonts w:hint="eastAsia" w:ascii="黑体" w:hAnsi="黑体" w:eastAsia="黑体" w:cs="黑体"/>
          <w:color w:val="000000"/>
          <w:sz w:val="30"/>
          <w:szCs w:val="30"/>
          <w:lang w:eastAsia="zh-CN"/>
        </w:rPr>
        <w:t>：</w:t>
      </w:r>
      <w:r>
        <w:rPr>
          <w:rFonts w:hint="eastAsia" w:ascii="仿宋_GB2312" w:hAnsi="仿宋_GB2312" w:cs="仿宋_GB2312"/>
          <w:color w:val="000000"/>
          <w:sz w:val="30"/>
          <w:szCs w:val="30"/>
        </w:rPr>
        <w:t>一是聚力抓粮食加工企业升级，坚持以粮食加工业为突破口，搞好粮食加工企业的重组扩规，扶持培育具有核心竞争力的粮食加工龙头企业，带动全市粮食产业提质增效、转型升级。二是聚力抓产业链升级。支持和引导粮食加工企业深耕米乳等高附加值行业，尽快补上粮食精深加工这个短板；加快粮</w:t>
      </w:r>
      <w:r>
        <w:rPr>
          <w:rFonts w:hint="eastAsia"/>
          <w:color w:val="000000"/>
          <w:sz w:val="30"/>
          <w:szCs w:val="30"/>
        </w:rPr>
        <w:t>食便</w:t>
      </w:r>
      <w:r>
        <w:rPr>
          <w:rFonts w:hint="eastAsia" w:ascii="仿宋_GB2312" w:hAnsi="仿宋_GB2312" w:cs="仿宋_GB2312"/>
          <w:color w:val="000000"/>
          <w:sz w:val="30"/>
          <w:szCs w:val="30"/>
        </w:rPr>
        <w:t>捷智能物流体系建设，积极发展电子商务、农商直供等新业态；着力构建“粮食企业+新型农业经营主体+种植户”的紧密联结机制，让粮食生产者分享粮食全产业链增值带来的收益。</w:t>
      </w:r>
    </w:p>
    <w:p>
      <w:pPr>
        <w:adjustRightInd w:val="0"/>
        <w:snapToGrid w:val="0"/>
        <w:spacing w:line="596" w:lineRule="exact"/>
        <w:ind w:firstLine="600"/>
        <w:rPr>
          <w:rFonts w:ascii="仿宋_GB2312" w:hAnsi="仿宋_GB2312" w:cs="仿宋_GB2312"/>
          <w:color w:val="000000"/>
          <w:sz w:val="30"/>
          <w:szCs w:val="30"/>
        </w:rPr>
      </w:pPr>
      <w:r>
        <w:rPr>
          <w:rFonts w:hint="eastAsia" w:ascii="黑体" w:hAnsi="黑体" w:eastAsia="黑体" w:cs="黑体"/>
          <w:color w:val="000000"/>
          <w:sz w:val="30"/>
          <w:szCs w:val="30"/>
          <w:lang w:eastAsia="zh-CN"/>
        </w:rPr>
        <w:t>二、</w:t>
      </w:r>
      <w:r>
        <w:rPr>
          <w:rFonts w:hint="eastAsia" w:ascii="黑体" w:hAnsi="黑体" w:eastAsia="黑体" w:cs="黑体"/>
          <w:color w:val="000000"/>
          <w:sz w:val="30"/>
          <w:szCs w:val="30"/>
        </w:rPr>
        <w:t>食用菌加工增值基地：</w:t>
      </w:r>
      <w:r>
        <w:rPr>
          <w:rFonts w:hint="eastAsia" w:ascii="仿宋_GB2312" w:hAnsi="仿宋_GB2312" w:cs="仿宋_GB2312"/>
          <w:color w:val="000000"/>
          <w:sz w:val="30"/>
          <w:szCs w:val="30"/>
        </w:rPr>
        <w:t>以古田县国家级现代农业产业园为基础，重点在古田及周边县（市、区）建设食用菌加工增值基地，注重食用菌的精深加工，强化科技对食用菌的支撑作用，加快食</w:t>
      </w:r>
      <w:r>
        <w:rPr>
          <w:rFonts w:hint="eastAsia"/>
          <w:color w:val="000000"/>
          <w:sz w:val="30"/>
          <w:szCs w:val="30"/>
        </w:rPr>
        <w:t>用菌产</w:t>
      </w:r>
      <w:r>
        <w:rPr>
          <w:rFonts w:hint="eastAsia" w:ascii="仿宋_GB2312" w:hAnsi="仿宋_GB2312" w:cs="仿宋_GB2312"/>
          <w:color w:val="000000"/>
          <w:sz w:val="30"/>
          <w:szCs w:val="30"/>
        </w:rPr>
        <w:t>品预制菜肴调理制品加工业发展和食用菌健康养身产品开发，做大做强食用菌特色产业。</w:t>
      </w:r>
    </w:p>
    <w:p>
      <w:pPr>
        <w:adjustRightInd w:val="0"/>
        <w:snapToGrid w:val="0"/>
        <w:spacing w:line="596" w:lineRule="exact"/>
        <w:ind w:firstLine="600"/>
        <w:rPr>
          <w:rFonts w:ascii="仿宋_GB2312" w:hAnsi="仿宋_GB2312" w:cs="仿宋_GB2312"/>
          <w:color w:val="000000"/>
          <w:sz w:val="30"/>
          <w:szCs w:val="30"/>
        </w:rPr>
      </w:pPr>
      <w:r>
        <w:rPr>
          <w:rFonts w:hint="eastAsia" w:ascii="黑体" w:hAnsi="黑体" w:eastAsia="黑体" w:cs="黑体"/>
          <w:b w:val="0"/>
          <w:bCs w:val="0"/>
          <w:color w:val="000000"/>
          <w:sz w:val="30"/>
          <w:szCs w:val="30"/>
          <w:lang w:eastAsia="zh-CN"/>
        </w:rPr>
        <w:t>三、</w:t>
      </w:r>
      <w:r>
        <w:rPr>
          <w:rFonts w:hint="eastAsia" w:ascii="黑体" w:hAnsi="黑体" w:eastAsia="黑体" w:cs="黑体"/>
          <w:b w:val="0"/>
          <w:bCs w:val="0"/>
          <w:color w:val="000000"/>
          <w:sz w:val="30"/>
          <w:szCs w:val="30"/>
        </w:rPr>
        <w:t>茶叶加工增值基地</w:t>
      </w:r>
      <w:r>
        <w:rPr>
          <w:rFonts w:hint="eastAsia" w:ascii="黑体" w:hAnsi="黑体" w:eastAsia="黑体" w:cs="黑体"/>
          <w:color w:val="000000"/>
          <w:sz w:val="30"/>
          <w:szCs w:val="30"/>
        </w:rPr>
        <w:t>：</w:t>
      </w:r>
      <w:r>
        <w:rPr>
          <w:rFonts w:hint="eastAsia" w:ascii="仿宋_GB2312" w:hAnsi="仿宋_GB2312" w:cs="仿宋_GB2312"/>
          <w:color w:val="000000"/>
          <w:sz w:val="30"/>
          <w:szCs w:val="30"/>
        </w:rPr>
        <w:t>重点在福鼎、周宁、寿宁等以“福鼎白茶”、“坦洋工夫”、“天山绿茶”等白茶、红茶和绿茶为主的优势茶叶加工区，建设茶叶加工增值基地。提高茶叶精制加工比例，提升全市茶文化、茶产业、茶科技地域优势和市场竞争力。</w:t>
      </w:r>
    </w:p>
    <w:p>
      <w:pPr>
        <w:adjustRightInd w:val="0"/>
        <w:snapToGrid w:val="0"/>
        <w:spacing w:line="596" w:lineRule="exact"/>
        <w:ind w:firstLine="600"/>
        <w:rPr>
          <w:rFonts w:ascii="仿宋_GB2312" w:hAnsi="仿宋_GB2312" w:cs="仿宋_GB2312"/>
          <w:color w:val="000000"/>
          <w:sz w:val="30"/>
          <w:szCs w:val="30"/>
        </w:rPr>
      </w:pPr>
      <w:r>
        <w:rPr>
          <w:rFonts w:hint="eastAsia" w:ascii="黑体" w:hAnsi="黑体" w:eastAsia="黑体" w:cs="黑体"/>
          <w:color w:val="000000"/>
          <w:sz w:val="30"/>
          <w:szCs w:val="30"/>
          <w:lang w:eastAsia="zh-CN"/>
        </w:rPr>
        <w:t>四、</w:t>
      </w:r>
      <w:r>
        <w:rPr>
          <w:rFonts w:hint="eastAsia" w:ascii="黑体" w:hAnsi="黑体" w:eastAsia="黑体" w:cs="黑体"/>
          <w:color w:val="000000"/>
          <w:sz w:val="30"/>
          <w:szCs w:val="30"/>
        </w:rPr>
        <w:t>水果加工增值基地：</w:t>
      </w:r>
      <w:r>
        <w:rPr>
          <w:rFonts w:hint="eastAsia" w:ascii="仿宋_GB2312" w:hAnsi="仿宋_GB2312" w:cs="仿宋_GB2312"/>
          <w:color w:val="000000"/>
          <w:sz w:val="30"/>
          <w:szCs w:val="30"/>
        </w:rPr>
        <w:t>立足多果类协同发展战略，重点在蕉城、福安、霞浦、福鼎等沿海地区建设龙眼、柑橘、枇杷等特色水果加工增值基地；在寿宁、周宁、屏南、古田等桃、柰、李、橙优势产区，建设优势水果加工增值基地。</w:t>
      </w:r>
    </w:p>
    <w:p>
      <w:pPr>
        <w:adjustRightInd w:val="0"/>
        <w:snapToGrid w:val="0"/>
        <w:spacing w:line="596" w:lineRule="exact"/>
        <w:ind w:firstLine="600"/>
        <w:rPr>
          <w:color w:val="000000"/>
          <w:sz w:val="30"/>
          <w:szCs w:val="30"/>
        </w:rPr>
      </w:pPr>
      <w:r>
        <w:rPr>
          <w:rFonts w:hint="eastAsia" w:ascii="黑体" w:hAnsi="黑体" w:eastAsia="黑体" w:cs="黑体"/>
          <w:color w:val="000000"/>
          <w:sz w:val="30"/>
          <w:szCs w:val="30"/>
          <w:lang w:eastAsia="zh-CN"/>
        </w:rPr>
        <w:t>五、</w:t>
      </w:r>
      <w:r>
        <w:rPr>
          <w:rFonts w:hint="eastAsia" w:ascii="黑体" w:hAnsi="黑体" w:eastAsia="黑体" w:cs="黑体"/>
          <w:color w:val="000000"/>
          <w:sz w:val="30"/>
          <w:szCs w:val="30"/>
        </w:rPr>
        <w:t>蔬菜加工增值基地：</w:t>
      </w:r>
      <w:r>
        <w:rPr>
          <w:rFonts w:hint="eastAsia" w:ascii="仿宋_GB2312" w:hAnsi="仿宋_GB2312" w:cs="仿宋_GB2312"/>
          <w:color w:val="000000"/>
          <w:sz w:val="30"/>
          <w:szCs w:val="30"/>
        </w:rPr>
        <w:t>在福安、福鼎、寿宁等地建设蔬菜加工增值基地，确保“菜篮子”安全，提高蔬菜精深加工水</w:t>
      </w:r>
      <w:r>
        <w:rPr>
          <w:rFonts w:hint="eastAsia"/>
          <w:color w:val="000000"/>
          <w:sz w:val="30"/>
          <w:szCs w:val="30"/>
        </w:rPr>
        <w:t>平，发展饮料食品和休闲食品，提高宁德市蔬菜产品的附加值，带动农业增效、农民增收。</w:t>
      </w:r>
    </w:p>
    <w:p>
      <w:pPr>
        <w:adjustRightInd w:val="0"/>
        <w:snapToGrid w:val="0"/>
        <w:spacing w:line="596" w:lineRule="exact"/>
        <w:ind w:firstLine="600"/>
        <w:rPr>
          <w:rFonts w:ascii="仿宋_GB2312" w:hAnsi="仿宋_GB2312" w:cs="仿宋_GB2312"/>
          <w:color w:val="000000"/>
          <w:sz w:val="30"/>
          <w:szCs w:val="30"/>
        </w:rPr>
      </w:pPr>
      <w:r>
        <w:rPr>
          <w:rFonts w:hint="eastAsia" w:ascii="黑体" w:hAnsi="黑体" w:eastAsia="黑体" w:cs="黑体"/>
          <w:color w:val="000000"/>
          <w:sz w:val="30"/>
          <w:szCs w:val="30"/>
          <w:lang w:eastAsia="zh-CN"/>
        </w:rPr>
        <w:t>六、</w:t>
      </w:r>
      <w:r>
        <w:rPr>
          <w:rFonts w:hint="eastAsia" w:ascii="黑体" w:hAnsi="黑体" w:eastAsia="黑体" w:cs="黑体"/>
          <w:color w:val="000000"/>
          <w:sz w:val="30"/>
          <w:szCs w:val="30"/>
        </w:rPr>
        <w:t>畜禽加工增值基地</w:t>
      </w:r>
      <w:r>
        <w:rPr>
          <w:rFonts w:hint="eastAsia" w:ascii="仿宋_GB2312" w:hAnsi="仿宋_GB2312" w:cs="仿宋_GB2312"/>
          <w:color w:val="000000"/>
          <w:sz w:val="30"/>
          <w:szCs w:val="30"/>
        </w:rPr>
        <w:t>：在蕉城、屏南、古田等地，建设畜禽加工增值基地，提高生猪、肉鸡、蛋品加工水平，发展上下游配套产业，扶持发展牛羊兔加工产业，增强肉类的综合加工水平。推动冷链物流建设，提高农产品的保鲜能力，延长农产品的储存期限，为宁德市畜禽特色农产品的跨区域流通保驾护航。</w:t>
      </w:r>
    </w:p>
    <w:p>
      <w:pPr>
        <w:adjustRightInd w:val="0"/>
        <w:snapToGrid w:val="0"/>
        <w:spacing w:line="596" w:lineRule="exact"/>
        <w:ind w:firstLine="600"/>
        <w:rPr>
          <w:color w:val="000000"/>
          <w:sz w:val="30"/>
          <w:szCs w:val="30"/>
        </w:rPr>
      </w:pPr>
      <w:r>
        <w:rPr>
          <w:rFonts w:hint="eastAsia" w:ascii="黑体" w:hAnsi="黑体" w:eastAsia="黑体" w:cs="黑体"/>
          <w:color w:val="000000"/>
          <w:sz w:val="30"/>
          <w:szCs w:val="30"/>
          <w:lang w:eastAsia="zh-CN"/>
        </w:rPr>
        <w:t>七、</w:t>
      </w:r>
      <w:r>
        <w:rPr>
          <w:rFonts w:hint="eastAsia" w:ascii="黑体" w:hAnsi="黑体" w:eastAsia="黑体" w:cs="黑体"/>
          <w:color w:val="000000"/>
          <w:sz w:val="30"/>
          <w:szCs w:val="30"/>
        </w:rPr>
        <w:t>中草药材加工增值基地：</w:t>
      </w:r>
      <w:r>
        <w:rPr>
          <w:rFonts w:hint="eastAsia" w:ascii="仿宋_GB2312" w:hAnsi="仿宋_GB2312" w:cs="仿宋_GB2312"/>
          <w:color w:val="000000"/>
          <w:sz w:val="30"/>
          <w:szCs w:val="30"/>
        </w:rPr>
        <w:t>在柘荣、福安、寿宁、霞浦、福鼎等地建设以太子参、黄栀子为主导的中草药加工增值基地，重点加快推进柘荣药城建设，完善扶持和配套政策，加大引进和</w:t>
      </w:r>
      <w:r>
        <w:rPr>
          <w:rFonts w:hint="eastAsia"/>
          <w:color w:val="000000"/>
          <w:sz w:val="30"/>
          <w:szCs w:val="30"/>
        </w:rPr>
        <w:t>培育药业加工及关联企业力度，壮大中草药业加工产业的规模。</w:t>
      </w:r>
    </w:p>
    <w:p>
      <w:pPr>
        <w:adjustRightInd w:val="0"/>
        <w:snapToGrid w:val="0"/>
        <w:spacing w:line="596" w:lineRule="exact"/>
        <w:ind w:firstLine="600"/>
        <w:rPr>
          <w:rFonts w:ascii="仿宋_GB2312" w:hAnsi="仿宋_GB2312" w:cs="仿宋_GB2312"/>
          <w:color w:val="000000"/>
          <w:sz w:val="30"/>
          <w:szCs w:val="30"/>
        </w:rPr>
      </w:pPr>
      <w:r>
        <w:rPr>
          <w:rFonts w:hint="eastAsia" w:ascii="黑体" w:hAnsi="黑体" w:eastAsia="黑体" w:cs="黑体"/>
          <w:color w:val="000000"/>
          <w:sz w:val="30"/>
          <w:szCs w:val="30"/>
          <w:lang w:eastAsia="zh-CN"/>
        </w:rPr>
        <w:t>八、</w:t>
      </w:r>
      <w:r>
        <w:rPr>
          <w:rFonts w:hint="eastAsia" w:ascii="黑体" w:hAnsi="黑体" w:eastAsia="黑体" w:cs="黑体"/>
          <w:color w:val="000000"/>
          <w:sz w:val="30"/>
          <w:szCs w:val="30"/>
        </w:rPr>
        <w:t>林竹花卉加工增值基地：</w:t>
      </w:r>
      <w:r>
        <w:rPr>
          <w:rFonts w:hint="eastAsia" w:ascii="仿宋_GB2312" w:hAnsi="仿宋_GB2312" w:cs="仿宋_GB2312"/>
          <w:color w:val="000000"/>
          <w:sz w:val="30"/>
          <w:szCs w:val="30"/>
        </w:rPr>
        <w:t>在屏南、古田、寿宁等地建设以毛竹、绿竹、高山冷凉花卉为主导的林竹花卉加工增值基地，推进林竹花卉精深加工项目建设，重点支持木竹制品生产、花卉产品精深加工、苗木观赏化盆景化加工。</w:t>
      </w:r>
    </w:p>
    <w:p>
      <w:pPr>
        <w:adjustRightInd w:val="0"/>
        <w:snapToGrid w:val="0"/>
        <w:spacing w:line="596" w:lineRule="exact"/>
        <w:ind w:firstLine="600"/>
        <w:rPr>
          <w:color w:val="000000"/>
          <w:sz w:val="30"/>
          <w:szCs w:val="30"/>
        </w:rPr>
      </w:pPr>
      <w:r>
        <w:rPr>
          <w:rFonts w:hint="eastAsia" w:ascii="黑体" w:hAnsi="黑体" w:eastAsia="黑体" w:cs="黑体"/>
          <w:color w:val="000000"/>
          <w:sz w:val="30"/>
          <w:szCs w:val="30"/>
          <w:lang w:eastAsia="zh-CN"/>
        </w:rPr>
        <w:t>九、</w:t>
      </w:r>
      <w:r>
        <w:rPr>
          <w:rFonts w:hint="eastAsia" w:ascii="黑体" w:hAnsi="黑体" w:eastAsia="黑体" w:cs="黑体"/>
          <w:color w:val="000000"/>
          <w:sz w:val="30"/>
          <w:szCs w:val="30"/>
        </w:rPr>
        <w:t>水产品加工增值基地：</w:t>
      </w:r>
      <w:r>
        <w:rPr>
          <w:rFonts w:hint="eastAsia" w:ascii="仿宋_GB2312" w:hAnsi="仿宋_GB2312" w:cs="仿宋_GB2312"/>
          <w:color w:val="000000"/>
          <w:sz w:val="30"/>
          <w:szCs w:val="30"/>
        </w:rPr>
        <w:t>以三都澳湾区为重点，发展水产品精深加工和出口加工业，扩大贝类、藻类、低值鱼类等大宗产品、低值产品的精深加工，加快建设水产品加工区和现代海洋渔业产业园区，构建福鼎、霞浦、蕉城、福安水产品加工产业聚集区。</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 w:val="30"/>
          <w:szCs w:val="30"/>
        </w:rPr>
      </w:pPr>
      <w:bookmarkStart w:id="675" w:name="_Toc17726"/>
      <w:bookmarkStart w:id="676" w:name="_Toc14449"/>
      <w:bookmarkStart w:id="677" w:name="_Toc32294"/>
      <w:bookmarkStart w:id="678" w:name="_Toc8705"/>
      <w:bookmarkStart w:id="679" w:name="_Toc1201"/>
      <w:bookmarkStart w:id="680" w:name="_Toc24273"/>
      <w:bookmarkStart w:id="681" w:name="_Toc8521"/>
      <w:bookmarkStart w:id="682" w:name="_Toc20118"/>
      <w:r>
        <w:rPr>
          <w:rFonts w:hint="eastAsia" w:ascii="楷体_GB2312" w:hAnsi="楷体_GB2312" w:eastAsia="楷体_GB2312" w:cs="楷体_GB2312"/>
          <w:color w:val="000000"/>
          <w:szCs w:val="32"/>
        </w:rPr>
        <w:t>第二节 拓宽农副产品流通渠道</w:t>
      </w:r>
      <w:bookmarkEnd w:id="675"/>
      <w:bookmarkEnd w:id="676"/>
      <w:bookmarkEnd w:id="677"/>
      <w:bookmarkEnd w:id="678"/>
      <w:bookmarkEnd w:id="679"/>
      <w:bookmarkEnd w:id="680"/>
      <w:bookmarkEnd w:id="681"/>
      <w:bookmarkEnd w:id="682"/>
    </w:p>
    <w:p>
      <w:pPr>
        <w:adjustRightInd w:val="0"/>
        <w:snapToGrid w:val="0"/>
        <w:spacing w:line="596" w:lineRule="exact"/>
        <w:ind w:firstLine="600"/>
        <w:rPr>
          <w:color w:val="000000"/>
          <w:sz w:val="30"/>
          <w:szCs w:val="30"/>
        </w:rPr>
      </w:pPr>
    </w:p>
    <w:p>
      <w:pPr>
        <w:adjustRightInd w:val="0"/>
        <w:snapToGrid w:val="0"/>
        <w:spacing w:line="596" w:lineRule="exact"/>
        <w:ind w:firstLine="600"/>
        <w:rPr>
          <w:color w:val="000000"/>
          <w:sz w:val="30"/>
          <w:szCs w:val="30"/>
        </w:rPr>
      </w:pPr>
      <w:r>
        <w:rPr>
          <w:rFonts w:hint="eastAsia" w:ascii="仿宋_GB2312" w:hAnsi="仿宋_GB2312" w:cs="仿宋_GB2312"/>
          <w:color w:val="000000"/>
          <w:sz w:val="30"/>
          <w:szCs w:val="30"/>
        </w:rPr>
        <w:t>组织龙头企业、合作社、家庭农场、新农人等经营主体，对接国内外电商平台，开网超、网店，推动地方特色农产品链接国内外市场，扩大销售；鼓励本土电商平台做大做强；依托供销、邮政、烟草站等乡村服务网点打通农村电子商务“最后一公里”，构建市、县、乡三级电商服务网络。借助今日头条，西瓜视频，抖音等APP，推介宁德特色农产品。深度打造“0593宁德号”交易网，专营宁德地理标志农产品。降低销售成本，提高交易效率；促进农业产业结构调整，优化社会资源配置；推动传统农业生产经营管理方式的变革与创新；扩大农产品市场，加快农产品流通。推进龙</w:t>
      </w:r>
      <w:r>
        <w:rPr>
          <w:rFonts w:hint="eastAsia"/>
          <w:color w:val="000000"/>
          <w:sz w:val="30"/>
          <w:szCs w:val="30"/>
        </w:rPr>
        <w:t>头企业、农民合作社通过电子商务平台与采购商对接，发展农产品私人和集团定</w:t>
      </w:r>
      <w:r>
        <w:rPr>
          <w:rFonts w:hint="eastAsia" w:ascii="仿宋_GB2312" w:hAnsi="仿宋_GB2312" w:cs="仿宋_GB2312"/>
          <w:color w:val="000000"/>
          <w:sz w:val="30"/>
          <w:szCs w:val="30"/>
        </w:rPr>
        <w:t>制，开展线上下单、线下体验、线上线下相结合的营销方式，积极探索生鲜农产品网上直销和时令农产品网上预订，减少流通环节。积极开展网上促销活动。开展季节性农产品网上促销、团购促销，支持开展特色农产品、绿色食品推介活动。探索建立“网络购物节”等促销机制，发展多种形式季节性、固定式的农产品网络促销活动。推进商贸流通、供销、邮政等系统物流服务网络为农业</w:t>
      </w:r>
      <w:r>
        <w:rPr>
          <w:rFonts w:hint="eastAsia"/>
          <w:color w:val="000000"/>
          <w:sz w:val="30"/>
          <w:szCs w:val="30"/>
        </w:rPr>
        <w:t>服务建立多层次电子商务渠道。</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 w:val="30"/>
          <w:szCs w:val="30"/>
        </w:rPr>
      </w:pPr>
      <w:bookmarkStart w:id="683" w:name="_Toc13873"/>
      <w:bookmarkStart w:id="684" w:name="_Toc2814"/>
      <w:bookmarkStart w:id="685" w:name="_Toc6774"/>
      <w:bookmarkStart w:id="686" w:name="_Toc26701"/>
      <w:bookmarkStart w:id="687" w:name="_Toc24285"/>
      <w:bookmarkStart w:id="688" w:name="_Toc21105"/>
      <w:bookmarkStart w:id="689" w:name="_Toc8588"/>
      <w:bookmarkStart w:id="690" w:name="_Toc20625"/>
      <w:r>
        <w:rPr>
          <w:rFonts w:hint="eastAsia" w:ascii="楷体_GB2312" w:hAnsi="楷体_GB2312" w:eastAsia="楷体_GB2312" w:cs="楷体_GB2312"/>
          <w:color w:val="000000"/>
          <w:szCs w:val="32"/>
        </w:rPr>
        <w:t>第三节 提升产业链供应链价值链现代化水平</w:t>
      </w:r>
      <w:bookmarkEnd w:id="683"/>
      <w:bookmarkEnd w:id="684"/>
      <w:bookmarkEnd w:id="685"/>
      <w:bookmarkEnd w:id="686"/>
      <w:bookmarkEnd w:id="687"/>
      <w:bookmarkEnd w:id="688"/>
      <w:bookmarkEnd w:id="689"/>
      <w:bookmarkEnd w:id="690"/>
    </w:p>
    <w:p>
      <w:pPr>
        <w:adjustRightInd w:val="0"/>
        <w:snapToGrid w:val="0"/>
        <w:spacing w:line="596" w:lineRule="exact"/>
        <w:ind w:firstLine="600"/>
        <w:rPr>
          <w:rFonts w:ascii="仿宋_GB2312" w:hAnsi="黑体"/>
          <w:bCs/>
          <w:sz w:val="30"/>
          <w:szCs w:val="30"/>
        </w:rPr>
      </w:pPr>
    </w:p>
    <w:p>
      <w:pPr>
        <w:adjustRightInd w:val="0"/>
        <w:snapToGrid w:val="0"/>
        <w:spacing w:line="596" w:lineRule="exact"/>
        <w:ind w:firstLine="600"/>
        <w:rPr>
          <w:rFonts w:ascii="仿宋_GB2312" w:hAnsi="黑体"/>
          <w:bCs/>
          <w:sz w:val="30"/>
          <w:szCs w:val="30"/>
        </w:rPr>
      </w:pPr>
      <w:r>
        <w:rPr>
          <w:rFonts w:hint="eastAsia" w:ascii="仿宋_GB2312" w:hAnsi="黑体"/>
          <w:bCs/>
          <w:sz w:val="30"/>
          <w:szCs w:val="30"/>
        </w:rPr>
        <w:t>以拓展二三产业为重点，延伸产业链条，开发特色化、多样化产品，提升乡村特色产业的附加值，促进农业多环节增效、农民多渠道增收。</w:t>
      </w:r>
      <w:bookmarkStart w:id="691" w:name="_Hlk87702447"/>
      <w:r>
        <w:rPr>
          <w:rFonts w:hint="eastAsia" w:ascii="仿宋_GB2312" w:hAnsi="黑体"/>
          <w:b/>
          <w:sz w:val="30"/>
          <w:szCs w:val="30"/>
        </w:rPr>
        <w:t>一是</w:t>
      </w:r>
      <w:r>
        <w:rPr>
          <w:rFonts w:hint="eastAsia" w:ascii="仿宋_GB2312" w:hAnsi="黑体"/>
          <w:b/>
          <w:bCs/>
          <w:sz w:val="30"/>
          <w:szCs w:val="30"/>
        </w:rPr>
        <w:t>以加工流通延伸产业链。</w:t>
      </w:r>
      <w:r>
        <w:rPr>
          <w:rFonts w:hint="eastAsia" w:ascii="仿宋_GB2312" w:hAnsi="黑体"/>
          <w:bCs/>
          <w:sz w:val="30"/>
          <w:szCs w:val="30"/>
        </w:rPr>
        <w:t>做强产品加工，鼓励大型龙头企业建设标准化、清洁化、智能化加工厂，引导农户、家庭农场建设一批家庭工场、手工作坊、乡村车间，用标准化技术改造提升地域特色小吃、剪纸、刺绣、蜡染、编织、制陶等乡土产品，</w:t>
      </w:r>
      <w:r>
        <w:rPr>
          <w:rFonts w:hint="eastAsia"/>
          <w:color w:val="000000"/>
          <w:sz w:val="30"/>
          <w:szCs w:val="30"/>
        </w:rPr>
        <w:t>依托各县（市、区）现代农业产业园、优势特色产业集群、产业强镇等各级各类发展平台，逐步完善产业链供应链基础设施建设。</w:t>
      </w:r>
      <w:r>
        <w:rPr>
          <w:rFonts w:hint="eastAsia" w:ascii="仿宋_GB2312" w:hAnsi="黑体"/>
          <w:bCs/>
          <w:sz w:val="30"/>
          <w:szCs w:val="30"/>
        </w:rPr>
        <w:t>做活商贸物流，鼓励各地在特色农产品优势区布局产地批发市场、物流配送中心、商品采购中心、大型特产超市，支持新型经营主体、农产品批发市场等建设产地仓储保鲜设施，发展网上商店、连锁门店。</w:t>
      </w:r>
      <w:r>
        <w:rPr>
          <w:rFonts w:hint="eastAsia"/>
          <w:color w:val="000000"/>
          <w:sz w:val="30"/>
          <w:szCs w:val="30"/>
        </w:rPr>
        <w:t>扶持一批产地冷库建设，支持各县（市、区）依托区位优势发展差异化冷链物流，综合利用加工冷链物流协调发展，支持建设一批农产品骨干冷链物流基地，打造区域农产品冷链物流枢纽，提升肉奶、蔬菜水果等鲜活农产品供应能力。</w:t>
      </w:r>
      <w:r>
        <w:rPr>
          <w:rFonts w:hint="eastAsia"/>
          <w:b/>
          <w:bCs/>
          <w:color w:val="000000"/>
          <w:sz w:val="30"/>
          <w:szCs w:val="30"/>
        </w:rPr>
        <w:t>二是</w:t>
      </w:r>
      <w:r>
        <w:rPr>
          <w:rFonts w:hint="eastAsia" w:ascii="仿宋_GB2312" w:hAnsi="黑体"/>
          <w:b/>
          <w:bCs/>
          <w:sz w:val="30"/>
          <w:szCs w:val="30"/>
        </w:rPr>
        <w:t>以信息技术打造供应链。</w:t>
      </w:r>
      <w:r>
        <w:rPr>
          <w:rFonts w:hint="eastAsia" w:ascii="仿宋_GB2312" w:hAnsi="黑体"/>
          <w:bCs/>
          <w:sz w:val="30"/>
          <w:szCs w:val="30"/>
        </w:rPr>
        <w:t>对接终端市场，以市场需求为导向，促进农户生产、企业加工、客户营销和终端消费连成一体、协同运作，增强供给侧对需求侧的适应性和灵活性。实施“互联网+”农产品出村进城工程，完善适应农产品网络销售的供应链体系、运营服务体系和支撑保障体系。创新营销模式，健全绿色智能农产品供应链，培育农商直供、直播直销、会员制、个人定制等模式，推进农商互联、产销衔接，再造业务流程、降低交易成本。</w:t>
      </w:r>
      <w:r>
        <w:rPr>
          <w:rFonts w:hint="eastAsia" w:ascii="仿宋_GB2312" w:hAnsi="黑体"/>
          <w:b/>
          <w:sz w:val="30"/>
          <w:szCs w:val="30"/>
        </w:rPr>
        <w:t>三是</w:t>
      </w:r>
      <w:r>
        <w:rPr>
          <w:rFonts w:hint="eastAsia" w:ascii="仿宋_GB2312" w:hAnsi="黑体"/>
          <w:b/>
          <w:bCs/>
          <w:sz w:val="30"/>
          <w:szCs w:val="30"/>
        </w:rPr>
        <w:t>以业态丰富提升价值链。</w:t>
      </w:r>
      <w:r>
        <w:rPr>
          <w:rFonts w:hint="eastAsia" w:ascii="仿宋_GB2312" w:hAnsi="黑体"/>
          <w:bCs/>
          <w:sz w:val="30"/>
          <w:szCs w:val="30"/>
        </w:rPr>
        <w:t>提升品质价值，推进品种和技术创新，提升特色产品的内在品质和外在品相，以品质赢得市场、实现增值。提升生态价值，开发绿色生态、养生保健等新功能新价值，增强对消费者的吸附力。提升人文价值，更多融入科技、人文元素，发掘民俗风情、历史传说和民间戏剧等文化价值，赋予乡土特色产品文化标识。</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 w:val="30"/>
          <w:szCs w:val="30"/>
        </w:rPr>
      </w:pPr>
      <w:bookmarkStart w:id="692" w:name="_Toc26665"/>
      <w:r>
        <w:rPr>
          <w:rFonts w:hint="eastAsia" w:ascii="楷体_GB2312" w:hAnsi="楷体_GB2312" w:eastAsia="楷体_GB2312" w:cs="楷体_GB2312"/>
          <w:color w:val="000000"/>
          <w:szCs w:val="32"/>
        </w:rPr>
        <w:t>第四节 开展“三产三新三链”融合试点</w:t>
      </w:r>
      <w:bookmarkEnd w:id="691"/>
      <w:bookmarkEnd w:id="692"/>
    </w:p>
    <w:p>
      <w:pPr>
        <w:adjustRightInd w:val="0"/>
        <w:snapToGrid w:val="0"/>
        <w:spacing w:line="596" w:lineRule="exact"/>
        <w:ind w:firstLine="600"/>
        <w:rPr>
          <w:rFonts w:ascii="仿宋_GB2312" w:hAnsi="黑体"/>
          <w:bCs/>
          <w:sz w:val="30"/>
          <w:szCs w:val="30"/>
        </w:rPr>
      </w:pPr>
    </w:p>
    <w:p>
      <w:pPr>
        <w:adjustRightInd w:val="0"/>
        <w:snapToGrid w:val="0"/>
        <w:spacing w:line="596" w:lineRule="exact"/>
        <w:ind w:firstLine="600"/>
        <w:rPr>
          <w:rFonts w:ascii="仿宋_GB2312" w:hAnsi="黑体"/>
          <w:bCs/>
          <w:sz w:val="30"/>
          <w:szCs w:val="30"/>
        </w:rPr>
      </w:pPr>
      <w:r>
        <w:rPr>
          <w:rFonts w:hint="eastAsia" w:ascii="仿宋_GB2312" w:hAnsi="黑体"/>
          <w:bCs/>
          <w:sz w:val="30"/>
          <w:szCs w:val="30"/>
        </w:rPr>
        <w:t>依托“一县一业”产业布局，开展“三产三新三链”融合试点，推动全市乡村产业形成融合态势，为建设“全国乡村振兴样板区”提供有力支撑。“三产融合”试点方面，蕉城、柘荣、福鼎要分别围绕大黄鱼、太子参、白茶等优势产业，将农业生产、农产品加工和销售服务有机贯</w:t>
      </w:r>
      <w:r>
        <w:rPr>
          <w:rFonts w:hint="eastAsia" w:ascii="仿宋_GB2312" w:hAnsi="仿宋_GB2312" w:cs="仿宋_GB2312"/>
          <w:color w:val="000000"/>
          <w:sz w:val="30"/>
          <w:szCs w:val="30"/>
        </w:rPr>
        <w:t>通，推动一二三产融合发展；“三新融合”试点方面，屏南、寿宁、霞浦要分别依托文创、“下乡的味道”“摄影+民宿”等创新做法，通过数字化等</w:t>
      </w:r>
      <w:r>
        <w:rPr>
          <w:rFonts w:hint="eastAsia" w:ascii="仿宋_GB2312"/>
          <w:bCs/>
          <w:color w:val="000000"/>
          <w:sz w:val="30"/>
          <w:szCs w:val="30"/>
        </w:rPr>
        <w:t>新技术运用，培育壮大农产品电商、直</w:t>
      </w:r>
      <w:r>
        <w:rPr>
          <w:rFonts w:hint="eastAsia" w:ascii="仿宋_GB2312" w:hAnsi="仿宋_GB2312" w:cs="仿宋_GB2312"/>
          <w:color w:val="000000"/>
          <w:sz w:val="30"/>
          <w:szCs w:val="30"/>
        </w:rPr>
        <w:t>播带货等新业态、新模式，推进新技术新业态新模式融合创新；“三链融合”试点方面，古田、福安、周宁要分别立足食用菌、葡萄、高山冷凉花卉等优势产</w:t>
      </w:r>
      <w:r>
        <w:rPr>
          <w:rFonts w:hint="eastAsia" w:ascii="仿宋_GB2312" w:hAnsi="黑体"/>
          <w:bCs/>
          <w:sz w:val="30"/>
          <w:szCs w:val="30"/>
        </w:rPr>
        <w:t>业，完善产业链上物流、金融、保险等配套供应，不断拉长价值链，推进产业链供应链价值链融合壮大。通过开展试点，总结创新更多可学可复制的经验、模式，不断丰富乡村振兴“宁德样板”的实质内涵。</w:t>
      </w:r>
    </w:p>
    <w:p>
      <w:pPr>
        <w:pStyle w:val="21"/>
        <w:adjustRightInd w:val="0"/>
        <w:snapToGrid w:val="0"/>
        <w:spacing w:line="596" w:lineRule="exact"/>
        <w:ind w:firstLine="640"/>
        <w:outlineLvl w:val="2"/>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noWrap w:val="0"/>
            <w:vAlign w:val="top"/>
          </w:tcPr>
          <w:p>
            <w:pPr>
              <w:pStyle w:val="5"/>
              <w:ind w:firstLine="562"/>
              <w:jc w:val="center"/>
              <w:rPr>
                <w:rFonts w:ascii="楷体" w:hAnsi="楷体" w:eastAsia="楷体" w:cs="楷体"/>
                <w:bCs/>
                <w:color w:val="000000"/>
                <w:sz w:val="28"/>
                <w:szCs w:val="28"/>
              </w:rPr>
            </w:pPr>
            <w:bookmarkStart w:id="693" w:name="_Toc27300"/>
            <w:r>
              <w:rPr>
                <w:rFonts w:hint="eastAsia" w:ascii="黑体" w:hAnsi="黑体" w:eastAsia="黑体" w:cs="黑体"/>
                <w:b w:val="0"/>
                <w:bCs/>
                <w:color w:val="000000"/>
                <w:sz w:val="28"/>
                <w:szCs w:val="28"/>
              </w:rPr>
              <w:t>专栏9：一二三产业融合发展推进行动</w:t>
            </w:r>
            <w:bookmarkEnd w:id="6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noWrap w:val="0"/>
            <w:vAlign w:val="top"/>
          </w:tcPr>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1.农产品产地初加工中心建设工程：</w:t>
            </w:r>
            <w:r>
              <w:rPr>
                <w:rFonts w:hint="eastAsia" w:ascii="仿宋_GB2312" w:hAnsi="仿宋_GB2312" w:cs="仿宋_GB2312"/>
                <w:color w:val="000000"/>
                <w:sz w:val="24"/>
              </w:rPr>
              <w:t>大力发展农产品产地初加工，建设178个农产品产地初加工处理中心。</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2.电子商务进农村示范工程：</w:t>
            </w:r>
            <w:r>
              <w:rPr>
                <w:rFonts w:hint="eastAsia" w:ascii="仿宋_GB2312" w:hAnsi="仿宋_GB2312" w:cs="仿宋_GB2312"/>
                <w:color w:val="000000"/>
                <w:sz w:val="24"/>
              </w:rPr>
              <w:t>以示范县创建为抓手，促进农村产品上行，支持农村产品产销对接，支持建设县、乡、村三级具有服务农村产品上行功能的物流配送体系，完善农村电子商务公共服务体系，支持县域电子商务公共服务中心和乡村电子商务服务站点的建设改造，开展农村电子商务培训。</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3.农产品现代流通工程：</w:t>
            </w:r>
            <w:r>
              <w:rPr>
                <w:rFonts w:hint="eastAsia" w:ascii="仿宋_GB2312" w:hAnsi="仿宋_GB2312" w:cs="仿宋_GB2312"/>
                <w:color w:val="000000"/>
                <w:sz w:val="24"/>
              </w:rPr>
              <w:t>鼓励商贸、邮政、快递、供销、运输等企业加大农村地区设施网络布局，整合利用现有物流网点，完善县乡村三级物流配送网络，支持快递物流企业利用乡镇综合服务站、农村客运站、乡镇供销社、村邮站、农村超市、农村淘宝店、农家店等设置快递服务网点，实现快递乡乡有网点、村村直接通邮。</w:t>
            </w:r>
          </w:p>
          <w:p>
            <w:pPr>
              <w:spacing w:line="460" w:lineRule="exact"/>
              <w:ind w:firstLine="482"/>
              <w:rPr>
                <w:color w:val="000000"/>
              </w:rPr>
            </w:pPr>
            <w:r>
              <w:rPr>
                <w:rFonts w:hint="eastAsia" w:ascii="仿宋_GB2312" w:hAnsi="仿宋_GB2312" w:cs="仿宋_GB2312"/>
                <w:b/>
                <w:bCs/>
                <w:color w:val="000000"/>
                <w:sz w:val="24"/>
              </w:rPr>
              <w:t>4.农产品仓储保鲜冷链物流设施建设工程:</w:t>
            </w:r>
            <w:r>
              <w:rPr>
                <w:rFonts w:hint="eastAsia" w:ascii="仿宋_GB2312" w:hAnsi="仿宋_GB2312" w:cs="仿宋_GB2312"/>
                <w:color w:val="000000"/>
                <w:sz w:val="24"/>
              </w:rPr>
              <w:t>以特色农产品优势区、鲜活农产品主产区为重点，通过以奖代补、贷款贴息、落实优惠电价等措施，支持农民合作社、家庭农场建设一批田头仓储保鲜、分拣包装、产后初加工等设施。推进农产品冷链物流设施、批发市场和县级仓储配送中心建设。通过冷链物流提升农产品保鲜保质期，推动宁德特色农产品“走出去”。</w:t>
            </w:r>
          </w:p>
        </w:tc>
      </w:tr>
    </w:tbl>
    <w:p>
      <w:pPr>
        <w:adjustRightInd w:val="0"/>
        <w:snapToGrid w:val="0"/>
        <w:spacing w:line="596" w:lineRule="exact"/>
        <w:ind w:firstLine="640"/>
      </w:pPr>
      <w:bookmarkStart w:id="694" w:name="_Toc21426"/>
      <w:bookmarkStart w:id="695" w:name="_Toc11878"/>
      <w:bookmarkStart w:id="696" w:name="_Toc1960"/>
      <w:bookmarkStart w:id="697" w:name="_Toc5351"/>
      <w:bookmarkStart w:id="698" w:name="_Toc13440"/>
      <w:bookmarkStart w:id="699" w:name="_Toc3633"/>
      <w:bookmarkStart w:id="700" w:name="_Toc20435"/>
    </w:p>
    <w:p>
      <w:pPr>
        <w:pStyle w:val="3"/>
        <w:adjustRightInd w:val="0"/>
        <w:snapToGrid w:val="0"/>
        <w:spacing w:before="0" w:after="0" w:line="596" w:lineRule="exact"/>
        <w:rPr>
          <w:color w:val="000000"/>
          <w:sz w:val="32"/>
        </w:rPr>
      </w:pPr>
      <w:bookmarkStart w:id="701" w:name="_Toc27358"/>
      <w:r>
        <w:rPr>
          <w:rFonts w:hint="eastAsia"/>
          <w:b w:val="0"/>
          <w:bCs/>
          <w:color w:val="000000"/>
          <w:sz w:val="32"/>
        </w:rPr>
        <w:t>第九章 推进特色现代农业绿色发展</w:t>
      </w:r>
      <w:bookmarkEnd w:id="694"/>
      <w:bookmarkEnd w:id="695"/>
      <w:bookmarkEnd w:id="696"/>
      <w:bookmarkEnd w:id="697"/>
      <w:bookmarkEnd w:id="698"/>
      <w:bookmarkEnd w:id="699"/>
      <w:bookmarkEnd w:id="700"/>
      <w:bookmarkEnd w:id="701"/>
    </w:p>
    <w:p>
      <w:pPr>
        <w:adjustRightInd w:val="0"/>
        <w:snapToGrid w:val="0"/>
        <w:spacing w:line="596" w:lineRule="exact"/>
        <w:ind w:firstLine="600"/>
        <w:rPr>
          <w:sz w:val="30"/>
          <w:szCs w:val="30"/>
        </w:rPr>
      </w:pPr>
      <w:bookmarkStart w:id="702" w:name="_Toc1821"/>
      <w:bookmarkStart w:id="703" w:name="_Toc90"/>
      <w:bookmarkStart w:id="704" w:name="_Toc23430"/>
      <w:bookmarkStart w:id="705" w:name="_Toc19919"/>
      <w:bookmarkStart w:id="706" w:name="_Toc23164"/>
      <w:bookmarkStart w:id="707" w:name="_Toc17339"/>
      <w:bookmarkStart w:id="708" w:name="_Toc4352"/>
    </w:p>
    <w:p>
      <w:pPr>
        <w:pStyle w:val="4"/>
        <w:adjustRightInd w:val="0"/>
        <w:snapToGrid w:val="0"/>
        <w:spacing w:line="596" w:lineRule="exact"/>
        <w:rPr>
          <w:rFonts w:ascii="楷体_GB2312" w:hAnsi="楷体_GB2312" w:eastAsia="楷体_GB2312" w:cs="楷体_GB2312"/>
          <w:color w:val="000000"/>
          <w:szCs w:val="32"/>
        </w:rPr>
      </w:pPr>
      <w:bookmarkStart w:id="709" w:name="_Toc26851"/>
      <w:r>
        <w:rPr>
          <w:rFonts w:hint="eastAsia" w:ascii="楷体_GB2312" w:hAnsi="楷体_GB2312" w:eastAsia="楷体_GB2312" w:cs="楷体_GB2312"/>
          <w:color w:val="000000"/>
          <w:szCs w:val="32"/>
        </w:rPr>
        <w:t>第一节 推进种植业绿色发展</w:t>
      </w:r>
      <w:bookmarkEnd w:id="702"/>
      <w:bookmarkEnd w:id="703"/>
      <w:bookmarkEnd w:id="704"/>
      <w:bookmarkEnd w:id="705"/>
      <w:bookmarkEnd w:id="706"/>
      <w:bookmarkEnd w:id="707"/>
      <w:bookmarkEnd w:id="708"/>
      <w:bookmarkEnd w:id="709"/>
    </w:p>
    <w:p>
      <w:pPr>
        <w:adjustRightInd w:val="0"/>
        <w:snapToGrid w:val="0"/>
        <w:spacing w:line="596" w:lineRule="exact"/>
        <w:ind w:firstLine="600"/>
        <w:rPr>
          <w:sz w:val="30"/>
          <w:szCs w:val="30"/>
        </w:rPr>
      </w:pPr>
      <w:bookmarkStart w:id="710" w:name="_Toc11451"/>
      <w:bookmarkStart w:id="711" w:name="_Toc6164"/>
      <w:bookmarkStart w:id="712" w:name="_Toc15927"/>
      <w:bookmarkStart w:id="713" w:name="_Toc676"/>
      <w:bookmarkStart w:id="714" w:name="_Toc21173"/>
      <w:bookmarkStart w:id="715" w:name="_Toc21071"/>
      <w:bookmarkStart w:id="716" w:name="_Toc1987"/>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717" w:name="_Toc29097"/>
      <w:r>
        <w:rPr>
          <w:rFonts w:hint="eastAsia" w:ascii="黑体" w:hAnsi="黑体" w:eastAsia="黑体" w:cs="黑体"/>
          <w:b w:val="0"/>
          <w:bCs/>
          <w:color w:val="000000"/>
          <w:sz w:val="30"/>
          <w:szCs w:val="30"/>
        </w:rPr>
        <w:t>一、推进化肥减量化行动</w:t>
      </w:r>
      <w:bookmarkEnd w:id="710"/>
      <w:bookmarkEnd w:id="711"/>
      <w:bookmarkEnd w:id="712"/>
      <w:bookmarkEnd w:id="713"/>
      <w:bookmarkEnd w:id="714"/>
      <w:bookmarkEnd w:id="715"/>
      <w:bookmarkEnd w:id="716"/>
      <w:bookmarkEnd w:id="717"/>
    </w:p>
    <w:p>
      <w:pPr>
        <w:adjustRightInd w:val="0"/>
        <w:snapToGrid w:val="0"/>
        <w:spacing w:line="596" w:lineRule="exact"/>
        <w:ind w:firstLine="600"/>
        <w:rPr>
          <w:rFonts w:ascii="仿宋_GB2312" w:hAnsi="仿宋_GB2312" w:cs="仿宋_GB2312"/>
          <w:color w:val="000000"/>
          <w:kern w:val="0"/>
          <w:sz w:val="30"/>
          <w:szCs w:val="30"/>
        </w:rPr>
      </w:pPr>
      <w:r>
        <w:rPr>
          <w:rFonts w:hint="eastAsia" w:ascii="仿宋_GB2312" w:hAnsi="仿宋_GB2312" w:cs="仿宋_GB2312"/>
          <w:color w:val="000000"/>
          <w:kern w:val="0"/>
          <w:sz w:val="30"/>
          <w:szCs w:val="30"/>
        </w:rPr>
        <w:t>推进化肥减量增效，调优结构减量。优化氮磷钾配比，优化产品结构，加快推广新型高效肥料。精准施肥减量。推进农机农艺融合，实施地力提升工程，发展绿肥种植，改良土壤、培肥地力，减少化肥施用量，每年完成省下达种植绿肥任务。大力推广有机肥，建立一批有机肥替代、绿色优质农产品生产基地（园区），推广使用商品有机肥和畜禽粪便堆（沤）肥、沼肥等有机肥。建立和完善耕地质量监测网络，编制并发布年度耕地质量监测报告。到2025年，实现全市化肥使用量比2020年减少10%的目标。</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718" w:name="_Toc4611"/>
      <w:bookmarkStart w:id="719" w:name="_Toc21419"/>
      <w:bookmarkStart w:id="720" w:name="_Toc29686"/>
      <w:bookmarkStart w:id="721" w:name="_Toc31227"/>
      <w:bookmarkStart w:id="722" w:name="_Toc25814"/>
      <w:bookmarkStart w:id="723" w:name="_Toc8671"/>
      <w:bookmarkStart w:id="724" w:name="_Toc19650"/>
      <w:bookmarkStart w:id="725" w:name="_Toc24895"/>
      <w:r>
        <w:rPr>
          <w:rFonts w:hint="eastAsia" w:ascii="黑体" w:hAnsi="黑体" w:eastAsia="黑体" w:cs="黑体"/>
          <w:b w:val="0"/>
          <w:bCs/>
          <w:color w:val="000000"/>
          <w:sz w:val="30"/>
          <w:szCs w:val="30"/>
        </w:rPr>
        <w:t>二、推进农药减量化行动</w:t>
      </w:r>
      <w:bookmarkEnd w:id="718"/>
      <w:bookmarkEnd w:id="719"/>
      <w:bookmarkEnd w:id="720"/>
      <w:bookmarkEnd w:id="721"/>
      <w:bookmarkEnd w:id="722"/>
      <w:bookmarkEnd w:id="723"/>
      <w:bookmarkEnd w:id="724"/>
      <w:bookmarkEnd w:id="725"/>
    </w:p>
    <w:p>
      <w:pPr>
        <w:adjustRightInd w:val="0"/>
        <w:snapToGrid w:val="0"/>
        <w:spacing w:line="596" w:lineRule="exact"/>
        <w:ind w:firstLine="600"/>
        <w:rPr>
          <w:rFonts w:ascii="仿宋_GB2312" w:hAnsi="仿宋_GB2312" w:cs="仿宋_GB2312"/>
          <w:color w:val="000000"/>
          <w:kern w:val="0"/>
          <w:sz w:val="30"/>
          <w:szCs w:val="30"/>
        </w:rPr>
      </w:pPr>
      <w:r>
        <w:rPr>
          <w:rFonts w:hint="eastAsia" w:ascii="仿宋_GB2312" w:hAnsi="仿宋_GB2312" w:cs="仿宋_GB2312"/>
          <w:color w:val="000000"/>
          <w:kern w:val="0"/>
          <w:sz w:val="30"/>
          <w:szCs w:val="30"/>
        </w:rPr>
        <w:t>加强病虫监测，准确测报，指导种植户科学、精准防控，减少农药使用次数与用量；推广农作物病虫绿色防控技术，包括农业、生态、物理等非化学防控技术以及生物农药、农药增效剂等应用技术，有效、经济、安全地防控病虫害；推广高效施药器械。建立完善植保无人机管理机制，制定植保无人机使用与技术规范，推动植保无人机在全市病虫害统防统治工作上的应用。到2025年，实现全市农药使用量比2020年减少10%的目标。</w:t>
      </w:r>
    </w:p>
    <w:p>
      <w:pPr>
        <w:pStyle w:val="5"/>
        <w:adjustRightInd w:val="0"/>
        <w:snapToGrid w:val="0"/>
        <w:spacing w:line="540" w:lineRule="exact"/>
        <w:ind w:firstLine="602"/>
        <w:rPr>
          <w:rFonts w:hint="eastAsia" w:ascii="黑体" w:hAnsi="黑体" w:eastAsia="黑体" w:cs="黑体"/>
          <w:b w:val="0"/>
          <w:bCs/>
          <w:color w:val="000000"/>
          <w:sz w:val="30"/>
          <w:szCs w:val="30"/>
        </w:rPr>
      </w:pPr>
      <w:bookmarkStart w:id="726" w:name="_Toc31651"/>
      <w:bookmarkStart w:id="727" w:name="_Toc21418"/>
      <w:bookmarkStart w:id="728" w:name="_Toc31991"/>
      <w:bookmarkStart w:id="729" w:name="_Toc6576"/>
      <w:bookmarkStart w:id="730" w:name="_Toc18150"/>
      <w:bookmarkStart w:id="731" w:name="_Toc30564"/>
      <w:bookmarkStart w:id="732" w:name="_Toc10612"/>
      <w:bookmarkStart w:id="733" w:name="_Toc23214"/>
      <w:r>
        <w:rPr>
          <w:rFonts w:hint="eastAsia" w:ascii="黑体" w:hAnsi="黑体" w:eastAsia="黑体" w:cs="黑体"/>
          <w:b w:val="0"/>
          <w:bCs/>
          <w:color w:val="000000"/>
          <w:sz w:val="30"/>
          <w:szCs w:val="30"/>
        </w:rPr>
        <w:t>三、促进农田环境美化提升</w:t>
      </w:r>
      <w:bookmarkEnd w:id="726"/>
      <w:bookmarkEnd w:id="727"/>
      <w:bookmarkEnd w:id="728"/>
      <w:bookmarkEnd w:id="729"/>
      <w:bookmarkEnd w:id="730"/>
      <w:bookmarkEnd w:id="731"/>
      <w:bookmarkEnd w:id="732"/>
      <w:bookmarkEnd w:id="733"/>
      <w:r>
        <w:rPr>
          <w:rFonts w:hint="eastAsia" w:ascii="黑体" w:hAnsi="黑体" w:eastAsia="黑体" w:cs="黑体"/>
          <w:b w:val="0"/>
          <w:bCs/>
          <w:color w:val="000000"/>
          <w:sz w:val="30"/>
          <w:szCs w:val="30"/>
        </w:rPr>
        <w:t xml:space="preserve">  </w:t>
      </w:r>
    </w:p>
    <w:p>
      <w:pPr>
        <w:adjustRightInd w:val="0"/>
        <w:snapToGrid w:val="0"/>
        <w:spacing w:line="540" w:lineRule="exact"/>
        <w:ind w:firstLine="600"/>
        <w:rPr>
          <w:sz w:val="30"/>
          <w:szCs w:val="30"/>
        </w:rPr>
      </w:pPr>
      <w:r>
        <w:rPr>
          <w:rFonts w:hint="eastAsia" w:ascii="仿宋_GB2312" w:hAnsi="仿宋_GB2312" w:cs="仿宋_GB2312"/>
          <w:color w:val="000000"/>
          <w:kern w:val="0"/>
          <w:sz w:val="30"/>
          <w:szCs w:val="30"/>
        </w:rPr>
        <w:t>制定推广一批秸秆“五化”（肥料化、饲料化、基料化、燃料化、原料化）利用、废旧农膜回收利用和肥料农药包装废弃物回收处理技术模式，不断提高农业废弃物回收利用水平。深入实施秸秆综合利用整县推进、农用薄膜回收利用、全生物降解地膜示范推广、肥料农药包装废弃物回收处理试点等项目，打造一批农业废弃物全域全量回收利用典型样板。建立使用者收集、市场主体回收、企业循环利用的回收处置机制，扶持建设一批秸秆、农膜和肥料农药包装废弃物收储运及处理利用社会化服务组织，构建覆盖县乡村服务网络。到2025年，全市秸秆综合利用率达到90%以上，废旧农膜回收率达到85%以上，肥料、农药包装废弃物逐步实现回收处置。</w:t>
      </w:r>
    </w:p>
    <w:p>
      <w:pPr>
        <w:pStyle w:val="5"/>
        <w:adjustRightInd w:val="0"/>
        <w:snapToGrid w:val="0"/>
        <w:spacing w:line="540" w:lineRule="exact"/>
        <w:ind w:firstLine="602"/>
        <w:rPr>
          <w:rFonts w:hint="eastAsia" w:ascii="黑体" w:hAnsi="黑体" w:eastAsia="黑体" w:cs="黑体"/>
          <w:b w:val="0"/>
          <w:bCs/>
          <w:color w:val="000000"/>
          <w:sz w:val="30"/>
          <w:szCs w:val="30"/>
        </w:rPr>
      </w:pPr>
      <w:bookmarkStart w:id="734" w:name="_Toc20643"/>
      <w:bookmarkStart w:id="735" w:name="_Toc1732"/>
      <w:bookmarkStart w:id="736" w:name="_Toc12337"/>
      <w:bookmarkStart w:id="737" w:name="_Toc27104"/>
      <w:bookmarkStart w:id="738" w:name="_Toc19952"/>
      <w:bookmarkStart w:id="739" w:name="_Toc21468"/>
      <w:bookmarkStart w:id="740" w:name="_Toc26108"/>
      <w:bookmarkStart w:id="741" w:name="_Toc24074"/>
      <w:r>
        <w:rPr>
          <w:rFonts w:hint="eastAsia" w:ascii="黑体" w:hAnsi="黑体" w:eastAsia="黑体" w:cs="黑体"/>
          <w:b w:val="0"/>
          <w:bCs/>
          <w:color w:val="000000"/>
          <w:sz w:val="30"/>
          <w:szCs w:val="30"/>
        </w:rPr>
        <w:t>四、加强耕地安全利用</w:t>
      </w:r>
      <w:bookmarkEnd w:id="734"/>
      <w:bookmarkEnd w:id="735"/>
      <w:bookmarkEnd w:id="736"/>
      <w:bookmarkEnd w:id="737"/>
      <w:bookmarkEnd w:id="738"/>
      <w:bookmarkEnd w:id="739"/>
      <w:bookmarkEnd w:id="740"/>
      <w:bookmarkEnd w:id="741"/>
    </w:p>
    <w:p>
      <w:pPr>
        <w:adjustRightInd w:val="0"/>
        <w:snapToGrid w:val="0"/>
        <w:spacing w:line="540" w:lineRule="exact"/>
        <w:ind w:firstLine="600"/>
        <w:rPr>
          <w:rFonts w:ascii="仿宋_GB2312" w:hAnsi="仿宋_GB2312" w:cs="仿宋_GB2312"/>
          <w:color w:val="000000"/>
          <w:kern w:val="0"/>
          <w:sz w:val="30"/>
          <w:szCs w:val="30"/>
        </w:rPr>
      </w:pPr>
      <w:r>
        <w:rPr>
          <w:rFonts w:hint="eastAsia" w:ascii="仿宋_GB2312" w:hAnsi="仿宋_GB2312" w:cs="仿宋_GB2312"/>
          <w:color w:val="000000"/>
          <w:kern w:val="0"/>
          <w:sz w:val="30"/>
          <w:szCs w:val="30"/>
        </w:rPr>
        <w:t>加强农产品产地环境监测，及时掌握土壤与主要农产品质量变化情况，构建完善耕地土壤环境质量数据库并动态更新。因地制宜推广采用农艺调控、土壤改良、生物技术等污染耕地安全利用技术，持续推进中轻度污染耕地安全利用，保障农产品质量安全。落实严格管控措施，积极引导重度污染耕地农户转产转业，确保严格管控类耕地不再生产食用农产品。到2025年，全市受污染耕地安全利用率达到95%左右。</w:t>
      </w:r>
    </w:p>
    <w:p>
      <w:pPr>
        <w:pStyle w:val="21"/>
        <w:adjustRightInd w:val="0"/>
        <w:snapToGrid w:val="0"/>
        <w:spacing w:line="540" w:lineRule="exact"/>
        <w:ind w:firstLine="640"/>
      </w:pPr>
    </w:p>
    <w:p>
      <w:pPr>
        <w:pStyle w:val="4"/>
        <w:adjustRightInd w:val="0"/>
        <w:snapToGrid w:val="0"/>
        <w:spacing w:line="540" w:lineRule="exact"/>
        <w:rPr>
          <w:rFonts w:ascii="楷体_GB2312" w:hAnsi="楷体_GB2312" w:eastAsia="楷体_GB2312" w:cs="楷体_GB2312"/>
          <w:color w:val="000000"/>
          <w:szCs w:val="32"/>
        </w:rPr>
      </w:pPr>
      <w:bookmarkStart w:id="742" w:name="_Toc21170"/>
      <w:bookmarkStart w:id="743" w:name="_Toc11308"/>
      <w:bookmarkStart w:id="744" w:name="_Toc23125"/>
      <w:bookmarkStart w:id="745" w:name="_Toc20658"/>
      <w:bookmarkStart w:id="746" w:name="_Toc32740"/>
      <w:bookmarkStart w:id="747" w:name="_Toc26277"/>
      <w:bookmarkStart w:id="748" w:name="_Toc1736"/>
      <w:bookmarkStart w:id="749" w:name="_Toc7054"/>
      <w:r>
        <w:rPr>
          <w:rFonts w:hint="eastAsia" w:ascii="楷体_GB2312" w:hAnsi="楷体_GB2312" w:eastAsia="楷体_GB2312" w:cs="楷体_GB2312"/>
          <w:color w:val="000000"/>
          <w:szCs w:val="32"/>
        </w:rPr>
        <w:t>第二节 推进畜牧业绿色循环发展</w:t>
      </w:r>
      <w:bookmarkEnd w:id="742"/>
      <w:bookmarkEnd w:id="743"/>
      <w:bookmarkEnd w:id="744"/>
      <w:bookmarkEnd w:id="745"/>
      <w:bookmarkEnd w:id="746"/>
      <w:bookmarkEnd w:id="747"/>
      <w:bookmarkEnd w:id="748"/>
      <w:bookmarkEnd w:id="749"/>
    </w:p>
    <w:p>
      <w:pPr>
        <w:adjustRightInd w:val="0"/>
        <w:snapToGrid w:val="0"/>
        <w:spacing w:line="540" w:lineRule="exact"/>
        <w:ind w:firstLine="600"/>
        <w:rPr>
          <w:rFonts w:ascii="仿宋_GB2312"/>
          <w:color w:val="000000"/>
          <w:kern w:val="0"/>
          <w:sz w:val="30"/>
          <w:szCs w:val="30"/>
        </w:rPr>
      </w:pPr>
    </w:p>
    <w:p>
      <w:pPr>
        <w:adjustRightInd w:val="0"/>
        <w:snapToGrid w:val="0"/>
        <w:spacing w:line="540" w:lineRule="exact"/>
        <w:ind w:firstLine="600"/>
        <w:rPr>
          <w:rFonts w:ascii="仿宋_GB2312" w:hAnsi="仿宋_GB2312" w:cs="仿宋_GB2312"/>
          <w:color w:val="000000"/>
          <w:kern w:val="0"/>
          <w:sz w:val="30"/>
          <w:szCs w:val="30"/>
        </w:rPr>
      </w:pPr>
      <w:r>
        <w:rPr>
          <w:rFonts w:hint="eastAsia" w:ascii="仿宋_GB2312" w:hAnsi="仿宋_GB2312" w:cs="仿宋_GB2312"/>
          <w:color w:val="000000"/>
          <w:kern w:val="0"/>
          <w:sz w:val="30"/>
          <w:szCs w:val="30"/>
        </w:rPr>
        <w:t>持续推进畜禽养殖污染防治，统筹考虑种养规模和资源环境承载力，推进畜禽标准化生产。推动农业废弃物资源化利用无害化处理，完善病死畜禽无害化处理设施，推进秸秆肥料化、饲料化、基料化、燃料化、原料化利用。发展畜禽清洁养殖，推行农牧结合和生态养殖模式，实现畜牧业与种植业协调发展。推进农村废弃物资源化利用，完善面源污染检测方法与技术，推动沼气工程建设，鼓励沼液和经无害化处理的畜禽养殖废水作为肥料科学还田利用。到2025年，全市畜禽粪污资源化利用率达到93%以上，规模养殖场粪污处理设施装备配套率达到100%，病死畜禽无害化处理率达100%，畜禽粪污实现高水平资源化利用。</w:t>
      </w:r>
    </w:p>
    <w:p>
      <w:pPr>
        <w:pStyle w:val="21"/>
        <w:adjustRightInd w:val="0"/>
        <w:snapToGrid w:val="0"/>
        <w:spacing w:line="540" w:lineRule="exact"/>
        <w:ind w:firstLine="640"/>
      </w:pPr>
    </w:p>
    <w:p>
      <w:pPr>
        <w:pStyle w:val="4"/>
        <w:adjustRightInd w:val="0"/>
        <w:snapToGrid w:val="0"/>
        <w:spacing w:line="540" w:lineRule="exact"/>
        <w:rPr>
          <w:rFonts w:ascii="楷体_GB2312" w:hAnsi="楷体_GB2312" w:eastAsia="楷体_GB2312" w:cs="楷体_GB2312"/>
          <w:color w:val="000000"/>
          <w:szCs w:val="32"/>
        </w:rPr>
      </w:pPr>
      <w:bookmarkStart w:id="750" w:name="_Toc25940"/>
      <w:bookmarkStart w:id="751" w:name="_Toc14264"/>
      <w:bookmarkStart w:id="752" w:name="_Toc10353"/>
      <w:bookmarkStart w:id="753" w:name="_Toc25188"/>
      <w:bookmarkStart w:id="754" w:name="_Toc26498"/>
      <w:bookmarkStart w:id="755" w:name="_Toc15284"/>
      <w:bookmarkStart w:id="756" w:name="_Toc24107"/>
      <w:bookmarkStart w:id="757" w:name="_Toc22813"/>
      <w:r>
        <w:rPr>
          <w:rFonts w:hint="eastAsia" w:ascii="楷体_GB2312" w:hAnsi="楷体_GB2312" w:eastAsia="楷体_GB2312" w:cs="楷体_GB2312"/>
          <w:color w:val="000000"/>
          <w:szCs w:val="32"/>
        </w:rPr>
        <w:t>第三节 推进渔业绿色发展</w:t>
      </w:r>
      <w:bookmarkEnd w:id="750"/>
      <w:bookmarkEnd w:id="751"/>
      <w:bookmarkEnd w:id="752"/>
      <w:bookmarkEnd w:id="753"/>
      <w:bookmarkEnd w:id="754"/>
      <w:bookmarkEnd w:id="755"/>
      <w:bookmarkEnd w:id="756"/>
      <w:bookmarkEnd w:id="757"/>
    </w:p>
    <w:p>
      <w:pPr>
        <w:pStyle w:val="9"/>
        <w:adjustRightInd w:val="0"/>
        <w:snapToGrid w:val="0"/>
        <w:spacing w:after="0" w:line="540" w:lineRule="exact"/>
        <w:ind w:left="0" w:leftChars="0" w:firstLine="600"/>
        <w:rPr>
          <w:rFonts w:ascii="仿宋_GB2312"/>
          <w:color w:val="000000"/>
          <w:kern w:val="0"/>
          <w:sz w:val="30"/>
          <w:szCs w:val="30"/>
        </w:rPr>
      </w:pPr>
    </w:p>
    <w:p>
      <w:pPr>
        <w:pStyle w:val="9"/>
        <w:adjustRightInd w:val="0"/>
        <w:snapToGrid w:val="0"/>
        <w:spacing w:after="0" w:line="540" w:lineRule="exact"/>
        <w:ind w:left="0" w:leftChars="0" w:firstLine="600"/>
        <w:rPr>
          <w:color w:val="000000"/>
          <w:sz w:val="30"/>
          <w:szCs w:val="30"/>
        </w:rPr>
      </w:pPr>
      <w:r>
        <w:rPr>
          <w:rFonts w:hint="eastAsia" w:ascii="仿宋_GB2312" w:hAnsi="仿宋_GB2312" w:cs="仿宋_GB2312"/>
          <w:color w:val="000000"/>
          <w:kern w:val="0"/>
          <w:sz w:val="30"/>
          <w:szCs w:val="30"/>
        </w:rPr>
        <w:t>统筹生产发展与环境保护，稳定水产健康养殖面积，开展水产养殖容量评估，科学确定湖泊、水库、河流和近海等公共自然水域网箱养殖规模和密度，调减养殖规模超过水域滩涂承载能力区域的养殖总量。支持发展深远海绿色养殖，鼓励深远海大型智能化养殖渔场建设。大力发展生态健康养殖。开展水产健康养殖示范创建，发展生态健康养殖模式。推进养殖尾水治理，推进贝壳、网衣、浮球等养殖生产副产物及废弃物集中收置和资源化利用。整治近海筏式、吊笼养殖用泡沫浮球，推广新材料环保浮球，着力治理白色污</w:t>
      </w:r>
      <w:r>
        <w:rPr>
          <w:rFonts w:hint="eastAsia" w:ascii="仿宋_GB2312" w:hAnsi="仿宋_GB2312" w:cs="仿宋_GB2312"/>
          <w:color w:val="000000"/>
          <w:spacing w:val="-2"/>
          <w:kern w:val="0"/>
          <w:sz w:val="30"/>
          <w:szCs w:val="30"/>
        </w:rPr>
        <w:t>染。加强网箱网围拆除后的废弃物综合整治，恢复水域自然生</w:t>
      </w:r>
      <w:r>
        <w:rPr>
          <w:rFonts w:hint="eastAsia" w:ascii="仿宋_GB2312"/>
          <w:color w:val="000000"/>
          <w:spacing w:val="-2"/>
          <w:kern w:val="0"/>
          <w:sz w:val="30"/>
          <w:szCs w:val="30"/>
        </w:rPr>
        <w:t>态环境。</w:t>
      </w:r>
    </w:p>
    <w:p>
      <w:pPr>
        <w:pStyle w:val="4"/>
        <w:adjustRightInd w:val="0"/>
        <w:snapToGrid w:val="0"/>
        <w:spacing w:line="540" w:lineRule="exact"/>
        <w:rPr>
          <w:rFonts w:hint="eastAsia" w:ascii="楷体_GB2312" w:hAnsi="楷体_GB2312" w:eastAsia="楷体_GB2312" w:cs="楷体_GB2312"/>
          <w:color w:val="000000"/>
          <w:szCs w:val="32"/>
        </w:rPr>
      </w:pPr>
      <w:bookmarkStart w:id="758" w:name="_Toc7848"/>
      <w:bookmarkStart w:id="759" w:name="_Toc27825"/>
      <w:bookmarkStart w:id="760" w:name="_Toc23664"/>
      <w:bookmarkStart w:id="761" w:name="_Toc12869"/>
      <w:bookmarkStart w:id="762" w:name="_Toc26568"/>
      <w:bookmarkStart w:id="763" w:name="_Toc3206"/>
      <w:bookmarkStart w:id="764" w:name="_Toc21183"/>
      <w:bookmarkStart w:id="765" w:name="_Toc18502"/>
    </w:p>
    <w:p>
      <w:pPr>
        <w:pStyle w:val="4"/>
        <w:adjustRightInd w:val="0"/>
        <w:snapToGrid w:val="0"/>
        <w:spacing w:line="540" w:lineRule="exact"/>
        <w:rPr>
          <w:rFonts w:ascii="楷体_GB2312" w:hAnsi="楷体_GB2312" w:eastAsia="楷体_GB2312" w:cs="楷体_GB2312"/>
          <w:color w:val="000000"/>
          <w:szCs w:val="32"/>
        </w:rPr>
      </w:pPr>
      <w:r>
        <w:rPr>
          <w:rFonts w:hint="eastAsia" w:ascii="楷体_GB2312" w:hAnsi="楷体_GB2312" w:eastAsia="楷体_GB2312" w:cs="楷体_GB2312"/>
          <w:color w:val="000000"/>
          <w:szCs w:val="32"/>
        </w:rPr>
        <w:t>第四节 提高农产品质量安全水平</w:t>
      </w:r>
      <w:bookmarkEnd w:id="758"/>
      <w:bookmarkEnd w:id="759"/>
      <w:bookmarkEnd w:id="760"/>
      <w:bookmarkEnd w:id="761"/>
      <w:bookmarkEnd w:id="762"/>
      <w:bookmarkEnd w:id="763"/>
      <w:bookmarkEnd w:id="764"/>
      <w:bookmarkEnd w:id="765"/>
    </w:p>
    <w:p>
      <w:pPr>
        <w:adjustRightInd w:val="0"/>
        <w:snapToGrid w:val="0"/>
        <w:spacing w:line="540" w:lineRule="exact"/>
        <w:ind w:firstLine="600"/>
        <w:rPr>
          <w:rFonts w:ascii="仿宋_GB2312"/>
          <w:color w:val="000000"/>
          <w:kern w:val="0"/>
          <w:sz w:val="30"/>
          <w:szCs w:val="30"/>
        </w:rPr>
      </w:pPr>
    </w:p>
    <w:p>
      <w:pPr>
        <w:adjustRightInd w:val="0"/>
        <w:snapToGrid w:val="0"/>
        <w:spacing w:line="540" w:lineRule="exact"/>
        <w:ind w:firstLine="600"/>
        <w:rPr>
          <w:rFonts w:ascii="仿宋_GB2312"/>
          <w:color w:val="000000"/>
          <w:kern w:val="0"/>
          <w:sz w:val="30"/>
          <w:szCs w:val="30"/>
        </w:rPr>
      </w:pPr>
      <w:r>
        <w:rPr>
          <w:rFonts w:hint="eastAsia" w:ascii="仿宋_GB2312" w:hAnsi="仿宋_GB2312" w:cs="仿宋_GB2312"/>
          <w:color w:val="000000"/>
          <w:kern w:val="0"/>
          <w:sz w:val="30"/>
          <w:szCs w:val="30"/>
        </w:rPr>
        <w:t>强化农产品质量安全监管和检验检测基础设施和队伍建设，健全完善市、县、乡三级农产品质量安全监管体系。开展相关法律法规执行效果的督查，加强农产品产地安全管理、推进农产品质量安全信息追溯平台建设。按照“四个最严”要求，坚持“产出来”、“管出来”两手抓。加强农产品质量安全监测，全面落实食用农产品合格证与“一品一码”并行管理制度，建立“一品一码”工作“五查”制度（线上巡查、现场稽查、调研抽查、执法检查、市场倒查），确保食用农产品源头赋码、一品一码、凭证销售。强化农资监管信息平台监管，引导种子、农药、兽药等农资生产、经营企业纳入农资监管信息平台监管，加强农资监管信息平台应用，推进农</w:t>
      </w:r>
      <w:r>
        <w:rPr>
          <w:rFonts w:hint="eastAsia" w:ascii="仿宋_GB2312"/>
          <w:color w:val="000000"/>
          <w:kern w:val="0"/>
          <w:sz w:val="30"/>
          <w:szCs w:val="30"/>
        </w:rPr>
        <w:t>资生产、经营企业信息化监管。到2025年，全市农产品全程监管水平显著提升，主要农产品标准化生产水平明显提高，质量安全基本实现可追溯，农药残留合格率高于全省平均水平。</w:t>
      </w:r>
    </w:p>
    <w:p>
      <w:pPr>
        <w:pStyle w:val="21"/>
        <w:adjustRightInd w:val="0"/>
        <w:snapToGrid w:val="0"/>
        <w:spacing w:line="540" w:lineRule="exact"/>
        <w:ind w:firstLine="640"/>
      </w:pPr>
    </w:p>
    <w:p>
      <w:pPr>
        <w:pStyle w:val="4"/>
        <w:adjustRightInd w:val="0"/>
        <w:snapToGrid w:val="0"/>
        <w:spacing w:line="540" w:lineRule="exact"/>
        <w:rPr>
          <w:rFonts w:ascii="楷体_GB2312" w:hAnsi="楷体_GB2312" w:eastAsia="楷体_GB2312" w:cs="楷体_GB2312"/>
          <w:color w:val="000000"/>
          <w:szCs w:val="32"/>
        </w:rPr>
      </w:pPr>
      <w:bookmarkStart w:id="766" w:name="_Toc15815"/>
      <w:bookmarkStart w:id="767" w:name="_Toc14986"/>
      <w:bookmarkStart w:id="768" w:name="_Toc10225"/>
      <w:bookmarkStart w:id="769" w:name="_Toc26425"/>
      <w:bookmarkStart w:id="770" w:name="_Toc4247"/>
      <w:bookmarkStart w:id="771" w:name="_Toc1138"/>
      <w:bookmarkStart w:id="772" w:name="_Toc4804"/>
      <w:bookmarkStart w:id="773" w:name="_Toc24604"/>
      <w:r>
        <w:rPr>
          <w:rFonts w:hint="eastAsia" w:ascii="楷体_GB2312" w:hAnsi="楷体_GB2312" w:eastAsia="楷体_GB2312" w:cs="楷体_GB2312"/>
          <w:color w:val="000000"/>
          <w:szCs w:val="32"/>
        </w:rPr>
        <w:t>第五节 构建农业绿色发展技术体系</w:t>
      </w:r>
      <w:bookmarkEnd w:id="766"/>
      <w:bookmarkEnd w:id="767"/>
      <w:bookmarkEnd w:id="768"/>
      <w:bookmarkEnd w:id="769"/>
      <w:bookmarkEnd w:id="770"/>
      <w:bookmarkEnd w:id="771"/>
      <w:bookmarkEnd w:id="772"/>
      <w:bookmarkEnd w:id="773"/>
    </w:p>
    <w:p>
      <w:pPr>
        <w:adjustRightInd w:val="0"/>
        <w:snapToGrid w:val="0"/>
        <w:spacing w:line="540" w:lineRule="exact"/>
        <w:ind w:firstLine="600"/>
        <w:rPr>
          <w:rFonts w:ascii="仿宋_GB2312"/>
          <w:color w:val="000000"/>
          <w:kern w:val="0"/>
          <w:sz w:val="30"/>
          <w:szCs w:val="30"/>
        </w:rPr>
      </w:pPr>
    </w:p>
    <w:p>
      <w:pPr>
        <w:adjustRightInd w:val="0"/>
        <w:snapToGrid w:val="0"/>
        <w:spacing w:line="540" w:lineRule="exact"/>
        <w:ind w:firstLine="600"/>
      </w:pPr>
      <w:r>
        <w:rPr>
          <w:rFonts w:hint="eastAsia" w:ascii="仿宋_GB2312" w:hAnsi="仿宋_GB2312" w:cs="仿宋_GB2312"/>
          <w:color w:val="000000"/>
          <w:kern w:val="0"/>
          <w:sz w:val="30"/>
          <w:szCs w:val="30"/>
        </w:rPr>
        <w:t>按照“农业资源环境保护、要素投入精准环保、生产技术集约高效、产业模式生态循环、质量标准规范完备”的要求，围绕实施乡村振兴战略和可持续发展战略，推进生态循环农业。着力推进“8+1”特色优势产业绿色发展技术体系建设。引进一批高效优质多抗新品种，抓好耕地质量提升与保育、化肥农药减施增效、农业废弃物循环利用等工作，推广农机农艺结合、水土资源节约高效利用、投入品减量高效施用、低碳生产等绿色生产模式。衔接国家关于“碳中和”“碳达峰”的远景目标，率先开展农业“碳中和”的探索，提高农业固碳增汇能力。到2025年，初步构建以绿色为导向的农业技术体系，引领全市农业走上一条产出高效、产品安全、资源节约、环境友好的农业现代化道路，打造促进特色现代农业绿色发展的强大引擎</w:t>
      </w:r>
      <w:r>
        <w:rPr>
          <w:rFonts w:hint="eastAsia" w:ascii="仿宋_GB2312"/>
          <w:sz w:val="30"/>
          <w:szCs w:val="30"/>
        </w:rPr>
        <w:t>。</w:t>
      </w:r>
    </w:p>
    <w:tbl>
      <w:tblPr>
        <w:tblStyle w:val="16"/>
        <w:tblW w:w="8540" w:type="dxa"/>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8540" w:type="dxa"/>
            <w:tcBorders>
              <w:top w:val="single" w:color="auto" w:sz="4" w:space="0"/>
            </w:tcBorders>
            <w:noWrap w:val="0"/>
            <w:vAlign w:val="top"/>
          </w:tcPr>
          <w:p>
            <w:pPr>
              <w:spacing w:beforeLines="50" w:line="360" w:lineRule="exact"/>
              <w:ind w:firstLine="0" w:firstLineChars="0"/>
              <w:jc w:val="center"/>
              <w:rPr>
                <w:rFonts w:ascii="楷体" w:hAnsi="楷体" w:eastAsia="楷体" w:cs="楷体"/>
                <w:b/>
                <w:bCs/>
                <w:color w:val="000000"/>
                <w:sz w:val="28"/>
                <w:szCs w:val="28"/>
              </w:rPr>
            </w:pPr>
            <w:bookmarkStart w:id="774" w:name="_Toc16107"/>
            <w:bookmarkStart w:id="775" w:name="_Toc24723"/>
            <w:bookmarkStart w:id="776" w:name="_Toc4253"/>
            <w:bookmarkStart w:id="777" w:name="_Toc16739"/>
            <w:bookmarkStart w:id="778" w:name="_Toc19236"/>
            <w:bookmarkStart w:id="779" w:name="_Toc674"/>
            <w:bookmarkStart w:id="780" w:name="_Toc28869"/>
            <w:r>
              <w:rPr>
                <w:rFonts w:hint="eastAsia" w:ascii="黑体" w:hAnsi="黑体" w:eastAsia="黑体" w:cs="黑体"/>
                <w:b w:val="0"/>
                <w:bCs/>
                <w:color w:val="000000"/>
                <w:sz w:val="30"/>
                <w:szCs w:val="30"/>
              </w:rPr>
              <w:t>专栏10：特色现代农业绿色发展推进行动</w:t>
            </w:r>
            <w:bookmarkEnd w:id="774"/>
            <w:bookmarkEnd w:id="775"/>
            <w:bookmarkEnd w:id="776"/>
            <w:bookmarkEnd w:id="777"/>
            <w:bookmarkEnd w:id="778"/>
            <w:bookmarkEnd w:id="779"/>
            <w:bookmarkEnd w:id="7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0" w:hRule="atLeast"/>
        </w:trPr>
        <w:tc>
          <w:tcPr>
            <w:tcW w:w="8540" w:type="dxa"/>
            <w:tcBorders>
              <w:top w:val="single" w:color="auto" w:sz="4" w:space="0"/>
            </w:tcBorders>
            <w:noWrap w:val="0"/>
            <w:vAlign w:val="top"/>
          </w:tcPr>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1.农业绿色发展先行区创建工程：</w:t>
            </w:r>
            <w:r>
              <w:rPr>
                <w:rFonts w:hint="eastAsia" w:ascii="仿宋_GB2312" w:hAnsi="仿宋_GB2312" w:cs="仿宋_GB2312"/>
                <w:color w:val="000000"/>
                <w:sz w:val="24"/>
              </w:rPr>
              <w:t>开展农业生产、资源环境和农村社会可持续发展试点示范。建设资源集约化利用、种养结合、产业链延伸等生态循环农业模式。示范推广绿色、生态、循环农业技术等，打造生态农业绿色发展先行区样板。</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2.畜禽粪污资源化高水平利用工程：</w:t>
            </w:r>
            <w:r>
              <w:rPr>
                <w:rFonts w:hint="eastAsia" w:ascii="仿宋_GB2312" w:hAnsi="仿宋_GB2312" w:cs="仿宋_GB2312"/>
                <w:color w:val="000000"/>
                <w:sz w:val="24"/>
              </w:rPr>
              <w:t>继续组织6个畜牧县实施畜禽粪污资源化利用整县推进项目，建设2个畜禽粪污高水平利用示范县。重点支持畜禽粪污收集、贮存、处理、利用等环节的基础设施建设和设备购置，建设集中收集利用畜禽粪污及垫料生产有机肥的加工厂、沼液利用示范基地及畜禽粪污资源化利用信息化监管中心。</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3.农药减量与农作物病虫害防控体系提升工程：</w:t>
            </w:r>
            <w:r>
              <w:rPr>
                <w:rFonts w:hint="eastAsia" w:ascii="仿宋_GB2312" w:hAnsi="仿宋_GB2312" w:cs="仿宋_GB2312"/>
                <w:color w:val="000000"/>
                <w:sz w:val="24"/>
              </w:rPr>
              <w:t>建设农作物病虫害防控体系、农户用药调查与监测体系，推广替代应用新技术、新农药、新药械，示范推广绿色防控技术与统防统治融合。到2025年，农药使用量比2020年减少10%。</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4.农作物秸秆综合利用工程：</w:t>
            </w:r>
            <w:r>
              <w:rPr>
                <w:rFonts w:hint="eastAsia" w:ascii="仿宋_GB2312" w:hAnsi="仿宋_GB2312" w:cs="仿宋_GB2312"/>
                <w:color w:val="000000"/>
                <w:sz w:val="24"/>
              </w:rPr>
              <w:t>开展整县推进秸秆综合利用工作，支持农业企业、农民专业合作社、种植大户和农村经纪人，领办秸秆收储运服务主体，构建覆盖全县域的秸秆收储运服务网络。在秸秆资源大县扶持建设一批秸秆收储运社会化服务组织。</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5.农用薄膜和农药包装物回收利用工程：</w:t>
            </w:r>
            <w:r>
              <w:rPr>
                <w:rFonts w:hint="eastAsia" w:ascii="仿宋_GB2312" w:hAnsi="仿宋_GB2312" w:cs="仿宋_GB2312"/>
                <w:color w:val="000000"/>
                <w:sz w:val="24"/>
              </w:rPr>
              <w:t>通过财政扶持、税收优惠、贷款贴息等措施，推进农膜回收示范县建设，加快推广全生物降解地膜，引导市场主体积极参与县乡村农膜回收利用站点建设。</w:t>
            </w:r>
          </w:p>
          <w:p>
            <w:pPr>
              <w:spacing w:line="460" w:lineRule="exact"/>
              <w:ind w:firstLine="482"/>
              <w:jc w:val="left"/>
              <w:rPr>
                <w:rFonts w:ascii="Calibri" w:hAnsi="Calibri" w:cs="仿宋_GB2312"/>
                <w:color w:val="000000"/>
                <w:sz w:val="24"/>
              </w:rPr>
            </w:pPr>
            <w:r>
              <w:rPr>
                <w:rFonts w:hint="eastAsia" w:ascii="仿宋_GB2312" w:hAnsi="仿宋_GB2312" w:cs="仿宋_GB2312"/>
                <w:b/>
                <w:bCs/>
                <w:color w:val="000000"/>
                <w:sz w:val="24"/>
              </w:rPr>
              <w:t>6.农产品产地环境监测工程：</w:t>
            </w:r>
            <w:r>
              <w:rPr>
                <w:rFonts w:hint="eastAsia" w:ascii="仿宋_GB2312" w:hAnsi="仿宋_GB2312" w:cs="仿宋_GB2312"/>
                <w:color w:val="000000"/>
                <w:sz w:val="24"/>
              </w:rPr>
              <w:t>对全市主要农产品产地9个国控监测点和544个省控监测点实施例行监测，对土壤和农产品中重金属状况进行分析评价，实时监测全市农产品产地土壤环境和农产品质量状况。</w:t>
            </w:r>
          </w:p>
          <w:p>
            <w:pPr>
              <w:pStyle w:val="21"/>
              <w:ind w:firstLine="482"/>
              <w:rPr>
                <w:rFonts w:ascii="仿宋_GB2312" w:cs="宋体"/>
                <w:color w:val="000000"/>
                <w:szCs w:val="32"/>
              </w:rPr>
            </w:pPr>
            <w:r>
              <w:rPr>
                <w:rFonts w:hint="eastAsia" w:ascii="仿宋_GB2312"/>
                <w:b/>
                <w:sz w:val="24"/>
              </w:rPr>
              <w:t>7.受污染耕地安全利用工程。</w:t>
            </w:r>
            <w:r>
              <w:rPr>
                <w:rFonts w:hint="eastAsia" w:ascii="仿宋_GB2312"/>
                <w:sz w:val="24"/>
              </w:rPr>
              <w:t>集成推广农艺调控、土壤改良、生物技术等耕地土壤污染防治模式，按时完成每年省级下达的受污染耕地安全利用及严格管控任务。到2025年，全市受污染耕地安全利用率达到95%左右。</w:t>
            </w:r>
          </w:p>
        </w:tc>
      </w:tr>
    </w:tbl>
    <w:p>
      <w:pPr>
        <w:adjustRightInd w:val="0"/>
        <w:snapToGrid w:val="0"/>
        <w:spacing w:line="596" w:lineRule="exact"/>
        <w:ind w:firstLine="0"/>
      </w:pPr>
      <w:bookmarkStart w:id="781" w:name="_Toc13551"/>
      <w:bookmarkStart w:id="782" w:name="_Toc23326"/>
      <w:bookmarkStart w:id="783" w:name="_Toc30025"/>
      <w:bookmarkStart w:id="784" w:name="_Toc21580"/>
      <w:bookmarkStart w:id="785" w:name="_Toc24734"/>
      <w:bookmarkStart w:id="786" w:name="_Toc19316"/>
      <w:bookmarkStart w:id="787" w:name="_Toc23100"/>
    </w:p>
    <w:p>
      <w:pPr>
        <w:pStyle w:val="3"/>
        <w:adjustRightInd w:val="0"/>
        <w:snapToGrid w:val="0"/>
        <w:spacing w:before="0" w:after="0" w:line="596" w:lineRule="exact"/>
        <w:rPr>
          <w:color w:val="000000"/>
          <w:sz w:val="32"/>
        </w:rPr>
      </w:pPr>
      <w:bookmarkStart w:id="788" w:name="_Toc2732"/>
      <w:r>
        <w:rPr>
          <w:rFonts w:hint="eastAsia"/>
          <w:b w:val="0"/>
          <w:bCs/>
          <w:color w:val="000000"/>
          <w:sz w:val="32"/>
        </w:rPr>
        <w:t>第十章　强化特色现代农业支持保护体系</w:t>
      </w:r>
      <w:bookmarkEnd w:id="781"/>
      <w:bookmarkEnd w:id="782"/>
      <w:bookmarkEnd w:id="783"/>
      <w:bookmarkEnd w:id="784"/>
      <w:bookmarkEnd w:id="785"/>
      <w:bookmarkEnd w:id="786"/>
      <w:bookmarkEnd w:id="787"/>
      <w:bookmarkEnd w:id="788"/>
    </w:p>
    <w:p>
      <w:pPr>
        <w:adjustRightInd w:val="0"/>
        <w:snapToGrid w:val="0"/>
        <w:spacing w:line="596" w:lineRule="exact"/>
        <w:ind w:firstLine="640"/>
      </w:pPr>
      <w:bookmarkStart w:id="789" w:name="_Toc25098"/>
      <w:bookmarkStart w:id="790" w:name="_Toc1692"/>
      <w:bookmarkStart w:id="791" w:name="_Toc17762"/>
      <w:bookmarkStart w:id="792" w:name="_Toc24543"/>
      <w:bookmarkStart w:id="793" w:name="_Toc28914"/>
      <w:bookmarkStart w:id="794" w:name="_Toc8444"/>
      <w:bookmarkStart w:id="795" w:name="_Toc8268"/>
    </w:p>
    <w:p>
      <w:pPr>
        <w:pStyle w:val="4"/>
        <w:adjustRightInd w:val="0"/>
        <w:snapToGrid w:val="0"/>
        <w:spacing w:line="596" w:lineRule="exact"/>
        <w:rPr>
          <w:rFonts w:ascii="仿宋_GB2312" w:hAnsi="仿宋_GB2312" w:eastAsia="仿宋_GB2312" w:cs="仿宋_GB2312"/>
          <w:color w:val="000000"/>
          <w:sz w:val="30"/>
          <w:szCs w:val="30"/>
        </w:rPr>
      </w:pPr>
      <w:bookmarkStart w:id="796" w:name="_Toc17006"/>
      <w:r>
        <w:rPr>
          <w:rFonts w:hint="eastAsia" w:ascii="楷体_GB2312" w:hAnsi="楷体_GB2312" w:eastAsia="楷体_GB2312" w:cs="楷体_GB2312"/>
          <w:color w:val="000000"/>
          <w:szCs w:val="32"/>
        </w:rPr>
        <w:t>第一节 强化特色现代农业科技创新驱动</w:t>
      </w:r>
      <w:bookmarkEnd w:id="789"/>
      <w:bookmarkEnd w:id="790"/>
      <w:bookmarkEnd w:id="791"/>
      <w:bookmarkEnd w:id="792"/>
      <w:bookmarkEnd w:id="793"/>
      <w:bookmarkEnd w:id="794"/>
      <w:bookmarkEnd w:id="795"/>
      <w:bookmarkEnd w:id="796"/>
    </w:p>
    <w:p>
      <w:pPr>
        <w:adjustRightInd w:val="0"/>
        <w:snapToGrid w:val="0"/>
        <w:spacing w:line="596" w:lineRule="exact"/>
        <w:ind w:firstLine="640"/>
      </w:pPr>
      <w:bookmarkStart w:id="797" w:name="_Toc20578"/>
      <w:bookmarkStart w:id="798" w:name="_Toc24864"/>
      <w:bookmarkStart w:id="799" w:name="_Toc11060"/>
      <w:bookmarkStart w:id="800" w:name="_Toc531"/>
      <w:bookmarkStart w:id="801" w:name="_Toc5719"/>
      <w:bookmarkStart w:id="802" w:name="_Toc8782"/>
      <w:bookmarkStart w:id="803" w:name="_Toc12431"/>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804" w:name="_Toc11335"/>
      <w:r>
        <w:rPr>
          <w:rFonts w:hint="eastAsia" w:ascii="黑体" w:hAnsi="黑体" w:eastAsia="黑体" w:cs="黑体"/>
          <w:b w:val="0"/>
          <w:bCs/>
          <w:color w:val="000000"/>
          <w:sz w:val="30"/>
          <w:szCs w:val="30"/>
        </w:rPr>
        <w:t>一、提升农业科技创新效率</w:t>
      </w:r>
      <w:bookmarkEnd w:id="797"/>
      <w:bookmarkEnd w:id="798"/>
      <w:bookmarkEnd w:id="799"/>
      <w:bookmarkEnd w:id="800"/>
      <w:bookmarkEnd w:id="801"/>
      <w:bookmarkEnd w:id="802"/>
      <w:bookmarkEnd w:id="803"/>
      <w:bookmarkEnd w:id="804"/>
    </w:p>
    <w:p>
      <w:pPr>
        <w:adjustRightInd w:val="0"/>
        <w:snapToGrid w:val="0"/>
        <w:spacing w:line="596" w:lineRule="exact"/>
        <w:ind w:firstLine="600"/>
        <w:rPr>
          <w:rFonts w:ascii="仿宋_GB2312" w:hAnsi="仿宋_GB2312" w:cs="仿宋_GB2312"/>
          <w:color w:val="000000"/>
          <w:kern w:val="0"/>
          <w:sz w:val="30"/>
          <w:szCs w:val="30"/>
        </w:rPr>
      </w:pPr>
      <w:r>
        <w:rPr>
          <w:rFonts w:hint="eastAsia" w:ascii="仿宋_GB2312" w:hAnsi="仿宋_GB2312" w:cs="仿宋_GB2312"/>
          <w:color w:val="000000"/>
          <w:kern w:val="0"/>
          <w:sz w:val="30"/>
          <w:szCs w:val="30"/>
        </w:rPr>
        <w:t>稳定支持农业基础性、前沿性、公益性科技研究，谋划一批农业重点科研项目。加强同福建农林大学和福建农科院等科研院校单位合作，紧紧围绕粮食等重要农产品有效供给、农产品质量安全、农业机械化、农业防灾减灾、农产品加工、农业资源环境保护与节本增效等，加强前沿技术、关键共性技术、核心技术和系统集成技术攻关，突破资源约束，持续提高农业综合生产能力。“十四五”期间，每年建设18个以上稳定的农业科技示范展示基地，打造一批可看可学可推广的示范样板，遴选一批素质高、示范好、带动强的示范主体，实现县县有产业示范基地、乡乡有科技展示样板、村村有科技示范主体。</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805" w:name="_Toc14522"/>
      <w:bookmarkStart w:id="806" w:name="_Toc13839"/>
      <w:bookmarkStart w:id="807" w:name="_Toc28955"/>
      <w:bookmarkStart w:id="808" w:name="_Toc28596"/>
      <w:bookmarkStart w:id="809" w:name="_Toc31791"/>
      <w:bookmarkStart w:id="810" w:name="_Toc24160"/>
      <w:bookmarkStart w:id="811" w:name="_Toc20345"/>
      <w:bookmarkStart w:id="812" w:name="_Toc15255"/>
      <w:r>
        <w:rPr>
          <w:rFonts w:hint="eastAsia" w:ascii="黑体" w:hAnsi="黑体" w:eastAsia="黑体" w:cs="黑体"/>
          <w:b w:val="0"/>
          <w:bCs/>
          <w:color w:val="000000"/>
          <w:sz w:val="30"/>
          <w:szCs w:val="30"/>
        </w:rPr>
        <w:t>二、加快农业高新技术产业发展</w:t>
      </w:r>
      <w:bookmarkEnd w:id="805"/>
      <w:bookmarkEnd w:id="806"/>
      <w:bookmarkEnd w:id="807"/>
      <w:bookmarkEnd w:id="808"/>
      <w:bookmarkEnd w:id="809"/>
      <w:bookmarkEnd w:id="810"/>
      <w:bookmarkEnd w:id="811"/>
      <w:bookmarkEnd w:id="812"/>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推动农业高新技术产业示范区、农业科技园区建设发展。围绕特色优势产业，培育建设农业高新技术产业示范区，发挥宁德国家农业科技园区示范带动作用，吸引更多的农业高新技术企业到科技园区落户。通过高新技术引领改造传统农业，用现代商业模式激活农业，打造特色现代农业创新高地，推动一二三产业融合、产城产镇产村融合，与农业上中下游形成产业聚集效应。通过农业科技园区的示范带动作用，建立与农户的衔接机制，让农民共享产业融合发展的增值收益，连片带动乡村振兴。</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813" w:name="_Toc4780"/>
      <w:bookmarkStart w:id="814" w:name="_Toc22799"/>
      <w:bookmarkStart w:id="815" w:name="_Toc15111"/>
      <w:bookmarkStart w:id="816" w:name="_Toc19945"/>
      <w:bookmarkStart w:id="817" w:name="_Toc22506"/>
      <w:bookmarkStart w:id="818" w:name="_Toc16166"/>
      <w:bookmarkStart w:id="819" w:name="_Toc1001"/>
      <w:bookmarkStart w:id="820" w:name="_Toc5460"/>
      <w:r>
        <w:rPr>
          <w:rFonts w:hint="eastAsia" w:ascii="黑体" w:hAnsi="黑体" w:eastAsia="黑体" w:cs="黑体"/>
          <w:b w:val="0"/>
          <w:bCs/>
          <w:color w:val="000000"/>
          <w:sz w:val="30"/>
          <w:szCs w:val="30"/>
        </w:rPr>
        <w:t>三、深化基层农技推广体系改革建设</w:t>
      </w:r>
      <w:bookmarkEnd w:id="813"/>
      <w:bookmarkEnd w:id="814"/>
      <w:bookmarkEnd w:id="815"/>
      <w:bookmarkEnd w:id="816"/>
      <w:bookmarkEnd w:id="817"/>
      <w:bookmarkEnd w:id="818"/>
      <w:bookmarkEnd w:id="819"/>
      <w:bookmarkEnd w:id="820"/>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深化基层农技推广体系改革，构建适应新时代发展要求的多元互补、高效协同的农技推广体系。提升基层农技推广机构服务能力，立足职责履行和发展要求，找准县乡农技推广机构定位，对乡镇农技推广机构与其他机构综合设置的，要确保专门岗位、专门人员履行公益性农技推广职能。引导科研院校开展农技服务，支持鼓励农业科研院校发挥人才、成果、平台等优势承担相关任务，开展农技人员培训、建设试验示范基地，加快科技成果转化落地。壮大社会化农技服务力量，引导支持企业、合作社、专业服务组织等开展农技服务。通过公开招标、定向委托等方式，支持社会化服务组织等承担公益性农技服务。推动农业科技创新创业，引导现代生产要素向农村聚集。打通技术应用“最后一公里”。“十四五”期间，全市农业生产社会化服务面积累计达50万亩次，估算总投资1.25亿元，其中财政投入5000万元。</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Cs w:val="32"/>
        </w:rPr>
      </w:pPr>
      <w:bookmarkStart w:id="821" w:name="_Toc3367"/>
      <w:bookmarkStart w:id="822" w:name="_Toc10011"/>
      <w:bookmarkStart w:id="823" w:name="_Toc3479"/>
      <w:bookmarkStart w:id="824" w:name="_Toc4761"/>
      <w:bookmarkStart w:id="825" w:name="_Toc14666"/>
      <w:bookmarkStart w:id="826" w:name="_Toc14873"/>
      <w:bookmarkStart w:id="827" w:name="_Toc7842"/>
      <w:bookmarkStart w:id="828" w:name="_Toc24355"/>
      <w:r>
        <w:rPr>
          <w:rFonts w:hint="eastAsia" w:ascii="楷体_GB2312" w:hAnsi="楷体_GB2312" w:eastAsia="楷体_GB2312" w:cs="楷体_GB2312"/>
          <w:color w:val="000000"/>
          <w:szCs w:val="32"/>
        </w:rPr>
        <w:t>第二节 加强农业综合防灾减灾能力</w:t>
      </w:r>
      <w:bookmarkEnd w:id="821"/>
      <w:bookmarkEnd w:id="822"/>
      <w:bookmarkEnd w:id="823"/>
      <w:bookmarkEnd w:id="824"/>
      <w:bookmarkEnd w:id="825"/>
      <w:bookmarkEnd w:id="826"/>
      <w:bookmarkEnd w:id="827"/>
      <w:bookmarkEnd w:id="828"/>
    </w:p>
    <w:p>
      <w:pPr>
        <w:adjustRightInd w:val="0"/>
        <w:snapToGrid w:val="0"/>
        <w:spacing w:line="596" w:lineRule="exact"/>
        <w:ind w:firstLine="600"/>
        <w:rPr>
          <w:rFonts w:ascii="仿宋_GB2312" w:hAnsi="仿宋_GB2312" w:cs="仿宋_GB2312"/>
          <w:color w:val="000000"/>
          <w:sz w:val="30"/>
          <w:szCs w:val="30"/>
        </w:rPr>
      </w:pPr>
      <w:bookmarkStart w:id="829" w:name="_Toc11692"/>
      <w:bookmarkStart w:id="830" w:name="_Toc1837"/>
      <w:bookmarkStart w:id="831" w:name="_Toc11897"/>
      <w:bookmarkStart w:id="832" w:name="_Toc16206"/>
      <w:bookmarkStart w:id="833" w:name="_Toc30648"/>
      <w:bookmarkStart w:id="834" w:name="_Toc13682"/>
      <w:bookmarkStart w:id="835" w:name="_Toc2750"/>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836" w:name="_Toc8774"/>
      <w:r>
        <w:rPr>
          <w:rFonts w:hint="eastAsia" w:ascii="黑体" w:hAnsi="黑体" w:eastAsia="黑体" w:cs="黑体"/>
          <w:b w:val="0"/>
          <w:bCs/>
          <w:color w:val="000000"/>
          <w:sz w:val="30"/>
          <w:szCs w:val="30"/>
        </w:rPr>
        <w:t>一、加大动物疫病防控力度</w:t>
      </w:r>
      <w:bookmarkEnd w:id="829"/>
      <w:bookmarkEnd w:id="830"/>
      <w:bookmarkEnd w:id="831"/>
      <w:bookmarkEnd w:id="832"/>
      <w:bookmarkEnd w:id="833"/>
      <w:bookmarkEnd w:id="834"/>
      <w:bookmarkEnd w:id="835"/>
      <w:bookmarkEnd w:id="836"/>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加强动物疫情监测和报告，确保疫情一旦出现能及早发现、及时控制。紧抓免疫环节，加大督查力度，特别是要做好非洲猪瘟、禽流感等疫病防控，督促提升各县（市、区）动物疫苗的接种率。及时监测收集口蹄疫、禽流感疫苗使用情况，确保疫苗调运、储藏和使用符合规范。建立健全动物疫病防控应急预案，落实各级应急预案制定情况，保障应急准备的各项措施落实到位。</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837" w:name="_Toc16082"/>
      <w:bookmarkStart w:id="838" w:name="_Toc24872"/>
      <w:bookmarkStart w:id="839" w:name="_Toc30969"/>
      <w:bookmarkStart w:id="840" w:name="_Toc2885"/>
      <w:bookmarkStart w:id="841" w:name="_Toc10944"/>
      <w:bookmarkStart w:id="842" w:name="_Toc24882"/>
      <w:bookmarkStart w:id="843" w:name="_Toc12532"/>
      <w:bookmarkStart w:id="844" w:name="_Toc28819"/>
      <w:r>
        <w:rPr>
          <w:rFonts w:hint="eastAsia" w:ascii="黑体" w:hAnsi="黑体" w:eastAsia="黑体" w:cs="黑体"/>
          <w:b w:val="0"/>
          <w:bCs/>
          <w:color w:val="000000"/>
          <w:sz w:val="30"/>
          <w:szCs w:val="30"/>
        </w:rPr>
        <w:t>二、加强病虫害统防统治能力</w:t>
      </w:r>
      <w:bookmarkEnd w:id="837"/>
      <w:bookmarkEnd w:id="838"/>
      <w:bookmarkEnd w:id="839"/>
      <w:bookmarkEnd w:id="840"/>
      <w:bookmarkEnd w:id="841"/>
      <w:bookmarkEnd w:id="842"/>
      <w:bookmarkEnd w:id="843"/>
      <w:bookmarkEnd w:id="844"/>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重点扶持发展专业化病虫害统防统治组织，开展重大病虫害专业化防控，提升主要作物专业化统防统治覆盖率，提高防治效果，减少用药量，节省防治成本。加大设备的投入，增设病虫害监测点，安装监测仪器、测报仪器以及杀虫灯，仪器监测与人工监测相结合，</w:t>
      </w:r>
      <w:r>
        <w:rPr>
          <w:rFonts w:hint="eastAsia" w:ascii="仿宋_GB2312" w:hAnsi="仿宋_GB2312" w:cs="仿宋_GB2312"/>
          <w:color w:val="000000"/>
          <w:spacing w:val="-2"/>
          <w:sz w:val="30"/>
          <w:szCs w:val="30"/>
        </w:rPr>
        <w:t>为农业的防灾减灾提供及时、准确、科学的信息，严防病虫爆发成灾。</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845" w:name="_Toc3472"/>
      <w:bookmarkStart w:id="846" w:name="_Toc8310"/>
      <w:bookmarkStart w:id="847" w:name="_Toc28428"/>
      <w:bookmarkStart w:id="848" w:name="_Toc29642"/>
      <w:bookmarkStart w:id="849" w:name="_Toc16551"/>
      <w:bookmarkStart w:id="850" w:name="_Toc18328"/>
      <w:bookmarkStart w:id="851" w:name="_Toc23412"/>
      <w:bookmarkStart w:id="852" w:name="_Toc7621"/>
      <w:r>
        <w:rPr>
          <w:rFonts w:hint="eastAsia" w:ascii="黑体" w:hAnsi="黑体" w:eastAsia="黑体" w:cs="黑体"/>
          <w:b w:val="0"/>
          <w:bCs/>
          <w:color w:val="000000"/>
          <w:sz w:val="30"/>
          <w:szCs w:val="30"/>
        </w:rPr>
        <w:t>三、完善农业防灾减灾体系</w:t>
      </w:r>
      <w:bookmarkEnd w:id="845"/>
      <w:bookmarkEnd w:id="846"/>
      <w:bookmarkEnd w:id="847"/>
      <w:bookmarkEnd w:id="848"/>
      <w:bookmarkEnd w:id="849"/>
      <w:bookmarkEnd w:id="850"/>
      <w:bookmarkEnd w:id="851"/>
      <w:bookmarkEnd w:id="852"/>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加强农村气象灾害防御体系建设，完善灾害性天气立体监测系统，全面提升气象综合监测能力，重点防范台风灾害；进一步完善“预警到乡、预案到村、责任到人”的防灾减灾工作机制，健全农业灾害信息网络系统和信息指挥决策系统，建设一批基层气象台站、健全完善地质灾害防治体系，做好地质灾害隐患点综合治理。实施森林火灾防控工程，完善森林火灾预防、扑救、保障三大体系，提高森林防火综合能力。</w:t>
      </w:r>
    </w:p>
    <w:p>
      <w:pPr>
        <w:pStyle w:val="4"/>
        <w:adjustRightInd w:val="0"/>
        <w:snapToGrid w:val="0"/>
        <w:spacing w:line="596" w:lineRule="exact"/>
        <w:rPr>
          <w:rFonts w:ascii="楷体_GB2312" w:hAnsi="楷体_GB2312" w:eastAsia="楷体_GB2312" w:cs="楷体_GB2312"/>
          <w:color w:val="000000"/>
          <w:szCs w:val="32"/>
        </w:rPr>
      </w:pPr>
      <w:bookmarkStart w:id="853" w:name="_Toc26874"/>
      <w:bookmarkStart w:id="854" w:name="_Toc24294"/>
      <w:bookmarkStart w:id="855" w:name="_Toc7648"/>
      <w:bookmarkStart w:id="856" w:name="_Toc14373"/>
      <w:bookmarkStart w:id="857" w:name="_Toc4052"/>
      <w:bookmarkStart w:id="858" w:name="_Toc16589"/>
      <w:bookmarkStart w:id="859" w:name="_Toc31986"/>
      <w:bookmarkStart w:id="860" w:name="_Toc6865"/>
      <w:r>
        <w:rPr>
          <w:rFonts w:hint="eastAsia" w:ascii="楷体_GB2312" w:hAnsi="楷体_GB2312" w:eastAsia="楷体_GB2312" w:cs="楷体_GB2312"/>
          <w:color w:val="000000"/>
          <w:szCs w:val="32"/>
        </w:rPr>
        <w:t>第三节 建立健全特色现代农业体制机制</w:t>
      </w:r>
      <w:bookmarkEnd w:id="853"/>
      <w:bookmarkEnd w:id="854"/>
      <w:bookmarkEnd w:id="855"/>
      <w:bookmarkEnd w:id="856"/>
      <w:bookmarkEnd w:id="857"/>
      <w:bookmarkEnd w:id="858"/>
      <w:bookmarkEnd w:id="859"/>
      <w:bookmarkEnd w:id="860"/>
    </w:p>
    <w:p>
      <w:pPr>
        <w:adjustRightInd w:val="0"/>
        <w:snapToGrid w:val="0"/>
        <w:spacing w:line="596" w:lineRule="exact"/>
        <w:ind w:firstLine="600"/>
        <w:rPr>
          <w:rFonts w:ascii="仿宋_GB2312" w:hAnsi="仿宋_GB2312" w:cs="仿宋_GB2312"/>
          <w:color w:val="000000"/>
          <w:sz w:val="30"/>
          <w:szCs w:val="30"/>
        </w:rPr>
      </w:pPr>
      <w:bookmarkStart w:id="861" w:name="_Toc28889"/>
      <w:bookmarkStart w:id="862" w:name="_Toc22015"/>
      <w:bookmarkStart w:id="863" w:name="_Toc26261"/>
      <w:bookmarkStart w:id="864" w:name="_Toc2571"/>
      <w:bookmarkStart w:id="865" w:name="_Toc19281"/>
      <w:bookmarkStart w:id="866" w:name="_Toc483"/>
      <w:bookmarkStart w:id="867" w:name="_Toc10929"/>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868" w:name="_Toc5596"/>
      <w:r>
        <w:rPr>
          <w:rFonts w:hint="eastAsia" w:ascii="黑体" w:hAnsi="黑体" w:eastAsia="黑体" w:cs="黑体"/>
          <w:b w:val="0"/>
          <w:bCs/>
          <w:color w:val="000000"/>
          <w:sz w:val="30"/>
          <w:szCs w:val="30"/>
        </w:rPr>
        <w:t>一、巩固完善农村基本经营制度</w:t>
      </w:r>
      <w:bookmarkEnd w:id="861"/>
      <w:bookmarkEnd w:id="862"/>
      <w:bookmarkEnd w:id="863"/>
      <w:bookmarkEnd w:id="864"/>
      <w:bookmarkEnd w:id="865"/>
      <w:bookmarkEnd w:id="866"/>
      <w:bookmarkEnd w:id="867"/>
      <w:bookmarkEnd w:id="868"/>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稳定农村土地承包关系并保持长久不变，稳妥开展第二轮土地承包到期后再延长30年先行试点。完善农村承包地“三权分置”制度，积极推广土地股份合作、土地托管、土地经营权入股等多种适度规模经营模式。建立健全农村土地承包合同管理工作机制，建立土地承包合同网签制度。加强农村土地经营权流转合同管理，推广使用全省统一的土地流转合同范本，完善提升县、乡两级土地流转服务体系，建立健全承包地流转风险防范机制，强化对工商资本租赁农地全过程监管，促进土地经营权规范有序流转。建立健全农村承包地日常登记、变更和管理等制度，实现“以图管地”。健全农村土地承包经营纠纷调解仲裁体系，加强土地承包经营权纠纷调解仲裁能力建设，依法维护农户土地承包权益。</w:t>
      </w:r>
    </w:p>
    <w:p>
      <w:pPr>
        <w:pStyle w:val="5"/>
        <w:adjustRightInd w:val="0"/>
        <w:snapToGrid w:val="0"/>
        <w:spacing w:line="596" w:lineRule="exact"/>
        <w:ind w:firstLine="602"/>
        <w:rPr>
          <w:rFonts w:hint="eastAsia" w:ascii="黑体" w:hAnsi="黑体" w:eastAsia="黑体" w:cs="黑体"/>
          <w:b w:val="0"/>
          <w:bCs/>
          <w:color w:val="000000"/>
          <w:sz w:val="30"/>
          <w:szCs w:val="30"/>
        </w:rPr>
      </w:pPr>
      <w:bookmarkStart w:id="869" w:name="_Toc4867"/>
      <w:bookmarkStart w:id="870" w:name="_Toc9048"/>
      <w:bookmarkStart w:id="871" w:name="_Toc15416"/>
      <w:bookmarkStart w:id="872" w:name="_Toc23728"/>
      <w:bookmarkStart w:id="873" w:name="_Toc14103"/>
      <w:bookmarkStart w:id="874" w:name="_Toc32567"/>
      <w:bookmarkStart w:id="875" w:name="_Toc9439"/>
      <w:bookmarkStart w:id="876" w:name="_Toc16269"/>
      <w:r>
        <w:rPr>
          <w:rFonts w:hint="eastAsia" w:ascii="黑体" w:hAnsi="黑体" w:eastAsia="黑体" w:cs="黑体"/>
          <w:b w:val="0"/>
          <w:bCs/>
          <w:color w:val="000000"/>
          <w:sz w:val="30"/>
          <w:szCs w:val="30"/>
        </w:rPr>
        <w:t>二、深化农村产权制度改革</w:t>
      </w:r>
      <w:bookmarkEnd w:id="869"/>
      <w:bookmarkEnd w:id="870"/>
      <w:bookmarkEnd w:id="871"/>
      <w:bookmarkEnd w:id="872"/>
      <w:bookmarkEnd w:id="873"/>
      <w:bookmarkEnd w:id="874"/>
      <w:bookmarkEnd w:id="875"/>
      <w:bookmarkEnd w:id="876"/>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深化农村集体产权制度改革，创新农村集体经济有效组织形式和运行机制，推动“资源变资产、资金变股金、农民变股东”改革，探索发展集体经济有效途径，激发集体经济内在活力。积极拓展农民对集体资产股份权能，开展集体资产股份抵押、担保和有偿退出、继承改革试点。推进农业水价综合改革。健全水资源资产产权制度，强化对流域水资源、水能资源开发利用的统一监管。加强渔业养殖权和渔业捕捞权制度建设。全面推行村党支部领办合作社模式，以“抱团发展”理念构建产业、村集体、群众、农民专业合作社的利益共同体，实现“支部有作为、党员起作用、集体增收入、群众得实惠”。争取</w:t>
      </w:r>
      <w:r>
        <w:rPr>
          <w:rFonts w:hint="eastAsia" w:ascii="仿宋_GB2312" w:hAnsi="仿宋_GB2312" w:cs="仿宋_GB2312"/>
          <w:color w:val="000000"/>
          <w:spacing w:val="-11"/>
          <w:sz w:val="30"/>
          <w:szCs w:val="30"/>
        </w:rPr>
        <w:t>2025年底，全市40%（约850个）的村建立党支部领办合作社；集体经济年经营性收入20万元以上的村达50%、年收入50万元以上的村</w:t>
      </w:r>
      <w:r>
        <w:rPr>
          <w:rFonts w:hint="eastAsia" w:ascii="仿宋_GB2312" w:hAnsi="仿宋_GB2312" w:cs="仿宋_GB2312"/>
          <w:color w:val="000000"/>
          <w:sz w:val="30"/>
          <w:szCs w:val="30"/>
        </w:rPr>
        <w:t>达30%。</w:t>
      </w:r>
    </w:p>
    <w:p>
      <w:pPr>
        <w:pStyle w:val="5"/>
        <w:numPr>
          <w:ilvl w:val="0"/>
          <w:numId w:val="0"/>
        </w:numPr>
        <w:adjustRightInd w:val="0"/>
        <w:snapToGrid w:val="0"/>
        <w:spacing w:line="596" w:lineRule="exact"/>
        <w:ind w:firstLine="602" w:firstLineChars="0"/>
        <w:rPr>
          <w:rFonts w:hint="eastAsia" w:ascii="黑体" w:hAnsi="黑体" w:eastAsia="黑体" w:cs="黑体"/>
          <w:b w:val="0"/>
          <w:bCs/>
          <w:color w:val="000000"/>
          <w:sz w:val="30"/>
          <w:szCs w:val="30"/>
        </w:rPr>
      </w:pPr>
      <w:bookmarkStart w:id="877" w:name="_Toc3636"/>
      <w:bookmarkStart w:id="878" w:name="_Toc17933"/>
      <w:bookmarkStart w:id="879" w:name="_Toc5104"/>
      <w:bookmarkStart w:id="880" w:name="_Toc25925"/>
      <w:bookmarkStart w:id="881" w:name="_Toc27376"/>
      <w:bookmarkStart w:id="882" w:name="_Toc17681"/>
      <w:bookmarkStart w:id="883" w:name="_Toc19781"/>
      <w:bookmarkStart w:id="884" w:name="_Toc15679"/>
      <w:r>
        <w:rPr>
          <w:rFonts w:hint="eastAsia" w:ascii="黑体" w:hAnsi="黑体" w:eastAsia="黑体" w:cs="黑体"/>
          <w:b w:val="0"/>
          <w:bCs/>
          <w:color w:val="000000"/>
          <w:sz w:val="30"/>
          <w:szCs w:val="30"/>
          <w:lang w:eastAsia="zh-CN"/>
        </w:rPr>
        <w:t>三、</w:t>
      </w:r>
      <w:r>
        <w:rPr>
          <w:rFonts w:hint="eastAsia" w:ascii="黑体" w:hAnsi="黑体" w:eastAsia="黑体" w:cs="黑体"/>
          <w:b w:val="0"/>
          <w:bCs/>
          <w:color w:val="000000"/>
          <w:sz w:val="30"/>
          <w:szCs w:val="30"/>
        </w:rPr>
        <w:t>探索普惠金融改革试验区创新</w:t>
      </w:r>
      <w:bookmarkEnd w:id="877"/>
      <w:bookmarkEnd w:id="878"/>
      <w:bookmarkEnd w:id="879"/>
      <w:bookmarkEnd w:id="880"/>
      <w:bookmarkEnd w:id="881"/>
      <w:bookmarkEnd w:id="882"/>
      <w:bookmarkEnd w:id="883"/>
      <w:bookmarkEnd w:id="884"/>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以宁德市普惠金融改革试验区建设为契机，推进普惠金融“百千万”工程，进一步完善农业保险政策，巩固提升水稻、生猪、森林保险覆盖面；增加政策性农业保险险种，鼓励县（市、区）开展地方优势特色农产品保险，逐步提高县（市、区）财政保费补贴比例，大力发展农业农村普惠金融，深入开展农村生产要素流转融资试点工作，搭建流转平台，创新金融产品，盘活农村闲置资产，促进农村资源可变现、可抵押，走出一条具有闽东特色的金融支持乡村振兴之路。推广“渔排养殖贷”成功经验，研究推出“山海”系列信贷产品，打响“绿色银行”“蓝色银行”品牌。深化金融信息化建设，建立健全以政策性金融为导向，以商业性金融机构为主体，以民间金融为补充的多层次、多样化、适度竞争的农业金融服务体系。鼓励各类银行机构扩大涉农业务范畴，开发更多适合农业发展的金融产品，丰富涉农金融服务手段和方式。建立农村信贷机构、涉农保险机构、地方政府之间的信息共享机制和联动机制。</w:t>
      </w:r>
    </w:p>
    <w:p>
      <w:pPr>
        <w:pStyle w:val="5"/>
        <w:numPr>
          <w:ilvl w:val="0"/>
          <w:numId w:val="0"/>
        </w:numPr>
        <w:adjustRightInd w:val="0"/>
        <w:snapToGrid w:val="0"/>
        <w:spacing w:line="596" w:lineRule="exact"/>
        <w:ind w:left="0" w:firstLine="0" w:firstLineChars="0"/>
        <w:rPr>
          <w:rFonts w:hint="eastAsia" w:ascii="黑体" w:hAnsi="黑体" w:eastAsia="黑体" w:cs="黑体"/>
          <w:b w:val="0"/>
          <w:bCs/>
          <w:color w:val="000000"/>
          <w:sz w:val="30"/>
          <w:szCs w:val="30"/>
        </w:rPr>
      </w:pPr>
      <w:bookmarkStart w:id="885" w:name="_Toc29511"/>
      <w:bookmarkStart w:id="886" w:name="_Toc9342"/>
      <w:bookmarkStart w:id="887" w:name="_Toc1486"/>
      <w:bookmarkStart w:id="888" w:name="_Toc2255"/>
      <w:bookmarkStart w:id="889" w:name="_Toc28908"/>
      <w:bookmarkStart w:id="890" w:name="_Toc20777"/>
      <w:bookmarkStart w:id="891" w:name="_Toc6065"/>
      <w:r>
        <w:rPr>
          <w:rFonts w:hint="eastAsia" w:ascii="黑体" w:hAnsi="黑体" w:eastAsia="黑体" w:cs="黑体"/>
          <w:b w:val="0"/>
          <w:bCs/>
          <w:color w:val="000000"/>
          <w:sz w:val="30"/>
          <w:szCs w:val="30"/>
          <w:lang w:eastAsia="zh-CN"/>
        </w:rPr>
        <w:t>　　四、</w:t>
      </w:r>
      <w:r>
        <w:rPr>
          <w:rFonts w:hint="eastAsia" w:ascii="黑体" w:hAnsi="黑体" w:eastAsia="黑体" w:cs="黑体"/>
          <w:b w:val="0"/>
          <w:bCs/>
          <w:color w:val="000000"/>
          <w:sz w:val="30"/>
          <w:szCs w:val="30"/>
        </w:rPr>
        <w:t>推进生态产品三级市场改革</w:t>
      </w:r>
      <w:bookmarkEnd w:id="885"/>
      <w:bookmarkEnd w:id="886"/>
      <w:bookmarkEnd w:id="887"/>
      <w:bookmarkEnd w:id="888"/>
      <w:bookmarkEnd w:id="889"/>
      <w:bookmarkEnd w:id="890"/>
      <w:bookmarkEnd w:id="891"/>
    </w:p>
    <w:p>
      <w:pPr>
        <w:adjustRightInd w:val="0"/>
        <w:snapToGrid w:val="0"/>
        <w:spacing w:line="560"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利用好屏南乡村振兴研究院平台，积极推进“生态产品市场化改革”，将生态产品放在市场经济中并用市场的办法与途径实现其价值，深化“生态资源与产品的资产化”，采取“三级市场建设”的方式与办法推进生态产品市场化。在“一级市场”方面，由财政或上市公司对乡村做组合投资，并以此为杠杆形成“三变”（资源变资产，资金变股金，村民变股东）条件，撬动“全域资源”按照股票一级市场原则内部化做股。在“二级市场”方面，促进实现乡协调、村自主，提高村集体资产管理公司在二级市场谈判地位，统一对外招商引资，形成多种合作社作为二级市场载体，村集体不参与直接经营，只收取股份收益对村民做二次分配。在“三级市场”方面，利用本地产权交易所构建三级市场，通过集体资产信托、集体股票质押，推进板外交易，首先由本地企业加入资源型资本产品的板上交易，再吸纳社会资本投入以获得资金。</w:t>
      </w:r>
    </w:p>
    <w:p>
      <w:pPr>
        <w:pStyle w:val="21"/>
        <w:adjustRightInd w:val="0"/>
        <w:snapToGrid w:val="0"/>
        <w:spacing w:line="560" w:lineRule="exact"/>
        <w:ind w:firstLine="640"/>
      </w:pPr>
    </w:p>
    <w:p>
      <w:pPr>
        <w:pStyle w:val="4"/>
        <w:adjustRightInd w:val="0"/>
        <w:snapToGrid w:val="0"/>
        <w:spacing w:line="560" w:lineRule="exact"/>
        <w:rPr>
          <w:rFonts w:ascii="楷体_GB2312" w:hAnsi="楷体_GB2312" w:eastAsia="楷体_GB2312" w:cs="楷体_GB2312"/>
          <w:color w:val="000000"/>
          <w:szCs w:val="32"/>
        </w:rPr>
      </w:pPr>
      <w:bookmarkStart w:id="892" w:name="_Toc114"/>
      <w:bookmarkStart w:id="893" w:name="_Toc2711"/>
      <w:bookmarkStart w:id="894" w:name="_Toc12759"/>
      <w:bookmarkStart w:id="895" w:name="_Toc3709"/>
      <w:bookmarkStart w:id="896" w:name="_Toc3968"/>
      <w:bookmarkStart w:id="897" w:name="_Toc21090"/>
      <w:bookmarkStart w:id="898" w:name="_Toc4596"/>
      <w:bookmarkStart w:id="899" w:name="_Toc29065"/>
      <w:r>
        <w:rPr>
          <w:rFonts w:hint="eastAsia" w:ascii="楷体_GB2312" w:hAnsi="楷体_GB2312" w:eastAsia="楷体_GB2312" w:cs="楷体_GB2312"/>
          <w:color w:val="000000"/>
          <w:szCs w:val="32"/>
        </w:rPr>
        <w:t>第四节 深化农业对外开放</w:t>
      </w:r>
      <w:bookmarkEnd w:id="892"/>
      <w:bookmarkEnd w:id="893"/>
      <w:bookmarkEnd w:id="894"/>
      <w:bookmarkEnd w:id="895"/>
      <w:bookmarkEnd w:id="896"/>
      <w:bookmarkEnd w:id="897"/>
      <w:bookmarkEnd w:id="898"/>
      <w:bookmarkEnd w:id="899"/>
    </w:p>
    <w:p>
      <w:pPr>
        <w:adjustRightInd w:val="0"/>
        <w:snapToGrid w:val="0"/>
        <w:spacing w:line="560" w:lineRule="exact"/>
        <w:ind w:firstLine="640"/>
      </w:pPr>
      <w:bookmarkStart w:id="900" w:name="_Toc15133"/>
      <w:bookmarkStart w:id="901" w:name="_Toc8894"/>
      <w:bookmarkStart w:id="902" w:name="_Toc15794"/>
      <w:bookmarkStart w:id="903" w:name="_Toc21456"/>
      <w:bookmarkStart w:id="904" w:name="_Toc20610"/>
      <w:bookmarkStart w:id="905" w:name="_Toc18340"/>
      <w:bookmarkStart w:id="906" w:name="_Toc24886"/>
    </w:p>
    <w:p>
      <w:pPr>
        <w:pStyle w:val="5"/>
        <w:adjustRightInd w:val="0"/>
        <w:snapToGrid w:val="0"/>
        <w:spacing w:line="560" w:lineRule="exact"/>
        <w:ind w:firstLine="602"/>
        <w:rPr>
          <w:rFonts w:hint="eastAsia" w:ascii="黑体" w:hAnsi="黑体" w:eastAsia="黑体" w:cs="黑体"/>
          <w:b w:val="0"/>
          <w:bCs/>
          <w:color w:val="000000"/>
          <w:sz w:val="30"/>
          <w:szCs w:val="30"/>
        </w:rPr>
      </w:pPr>
      <w:bookmarkStart w:id="907" w:name="_Toc19838"/>
      <w:r>
        <w:rPr>
          <w:rFonts w:hint="eastAsia" w:ascii="黑体" w:hAnsi="黑体" w:eastAsia="黑体" w:cs="黑体"/>
          <w:b w:val="0"/>
          <w:bCs/>
          <w:color w:val="000000"/>
          <w:sz w:val="30"/>
          <w:szCs w:val="30"/>
        </w:rPr>
        <w:t>一、推进宁台农业产业对接</w:t>
      </w:r>
      <w:bookmarkEnd w:id="900"/>
      <w:bookmarkEnd w:id="901"/>
      <w:bookmarkEnd w:id="902"/>
      <w:bookmarkEnd w:id="903"/>
      <w:bookmarkEnd w:id="904"/>
      <w:bookmarkEnd w:id="905"/>
      <w:bookmarkEnd w:id="906"/>
      <w:bookmarkEnd w:id="907"/>
    </w:p>
    <w:p>
      <w:pPr>
        <w:adjustRightInd w:val="0"/>
        <w:snapToGrid w:val="0"/>
        <w:spacing w:line="560"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树立“大农业”合作理念，推进宁台设施农业、精致农业、农产品精深加工及休闲农业等产业深度对接，引入生态种植理念，集成推广台湾农业良种及其配套技术，加强深加工产品研发，提升农渔产量和附加值。支持全市农业龙头企业、协会和台湾企业合资、合作，大力发展高产、优质、高效、生态农业，巩固提升宁德茶叶、水产品、食用菌、果蔬、药材等产业优势。持续推进福安、屏南闽台农业合作示范县建设，鼓励其他县（市、区）结合各自气候、地理优势、产业需求，因地制宜加强与台湾现代农业合作，加快福安海峡两岸食品产业合作区、霞浦台湾水产品集散中心建设，鼓励台港澳资农业企业入驻“滴水购”电商平台。培育一批宁台现代农业合作园区、示范区或基地，打造具有一定影响力的东南沿海绿色食品产业基地。</w:t>
      </w:r>
    </w:p>
    <w:p>
      <w:pPr>
        <w:pStyle w:val="5"/>
        <w:numPr>
          <w:ilvl w:val="0"/>
          <w:numId w:val="0"/>
        </w:numPr>
        <w:adjustRightInd w:val="0"/>
        <w:snapToGrid w:val="0"/>
        <w:spacing w:line="560" w:lineRule="exact"/>
        <w:ind w:firstLine="602"/>
        <w:rPr>
          <w:rFonts w:hint="eastAsia" w:ascii="黑体" w:hAnsi="黑体" w:eastAsia="黑体" w:cs="黑体"/>
          <w:b w:val="0"/>
          <w:bCs/>
          <w:color w:val="000000"/>
          <w:sz w:val="30"/>
          <w:szCs w:val="30"/>
        </w:rPr>
      </w:pPr>
      <w:bookmarkStart w:id="908" w:name="_Toc20275"/>
      <w:bookmarkStart w:id="909" w:name="_Toc6014"/>
      <w:bookmarkStart w:id="910" w:name="_Toc3034"/>
      <w:bookmarkStart w:id="911" w:name="_Toc20951"/>
      <w:bookmarkStart w:id="912" w:name="_Toc22735"/>
      <w:bookmarkStart w:id="913" w:name="_Toc8663"/>
      <w:bookmarkStart w:id="914" w:name="_Toc26836"/>
      <w:bookmarkStart w:id="915" w:name="_Toc10377"/>
      <w:r>
        <w:rPr>
          <w:rFonts w:hint="eastAsia" w:ascii="黑体" w:hAnsi="黑体" w:eastAsia="黑体" w:cs="黑体"/>
          <w:b w:val="0"/>
          <w:bCs/>
          <w:color w:val="000000"/>
          <w:sz w:val="30"/>
          <w:szCs w:val="30"/>
          <w:lang w:eastAsia="zh-CN"/>
        </w:rPr>
        <w:t>二、</w:t>
      </w:r>
      <w:r>
        <w:rPr>
          <w:rFonts w:hint="eastAsia" w:ascii="黑体" w:hAnsi="黑体" w:eastAsia="黑体" w:cs="黑体"/>
          <w:b w:val="0"/>
          <w:bCs/>
          <w:color w:val="000000"/>
          <w:sz w:val="30"/>
          <w:szCs w:val="30"/>
        </w:rPr>
        <w:t>拓展宁台合作交流领域</w:t>
      </w:r>
      <w:bookmarkEnd w:id="908"/>
      <w:bookmarkEnd w:id="909"/>
      <w:bookmarkEnd w:id="910"/>
      <w:bookmarkEnd w:id="911"/>
      <w:bookmarkEnd w:id="912"/>
      <w:bookmarkEnd w:id="913"/>
      <w:bookmarkEnd w:id="914"/>
      <w:bookmarkEnd w:id="915"/>
    </w:p>
    <w:p>
      <w:pPr>
        <w:adjustRightInd w:val="0"/>
        <w:snapToGrid w:val="0"/>
        <w:spacing w:line="560"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扩大宁台农业技术合作交流，推进宁台高等院校、科研院所开展多种形式的农业科研合作，组织茶叶、食用菌等品牌农业企业赴台考察、推介，加快引进台湾新品种、新技术、新肥料、新农药、新机具等“五新”技术，建设一批台湾农业新技术新品种推广中心。借鉴台湾农民合作经济组织的运作模式，促进农业专业化、社会化和现代化发展。在探索闽东特色的乡村振兴之路中融入更多的台湾元素，积极引进台湾建筑师、科技特派员和社区营造团队参与美丽乡村建设。借鉴台湾“富丽乡村”建设的有益经验，充分挖掘乡村生产、生活、生态“三生”资源，构建农村产业发展圈。深化宁台农业基层双向交流合作，争取台湾乡村建设、农业方面专业技术人才来宁工作。</w:t>
      </w:r>
    </w:p>
    <w:p>
      <w:pPr>
        <w:pStyle w:val="5"/>
        <w:numPr>
          <w:ilvl w:val="0"/>
          <w:numId w:val="0"/>
        </w:numPr>
        <w:adjustRightInd w:val="0"/>
        <w:snapToGrid w:val="0"/>
        <w:spacing w:line="560" w:lineRule="exact"/>
        <w:ind w:firstLine="600" w:firstLineChars="200"/>
        <w:rPr>
          <w:rFonts w:hint="eastAsia" w:ascii="黑体" w:hAnsi="黑体" w:eastAsia="黑体" w:cs="黑体"/>
          <w:b w:val="0"/>
          <w:bCs/>
          <w:color w:val="000000"/>
          <w:sz w:val="30"/>
          <w:szCs w:val="30"/>
        </w:rPr>
      </w:pPr>
      <w:bookmarkStart w:id="916" w:name="_Toc19533"/>
      <w:bookmarkStart w:id="917" w:name="_Toc4476"/>
      <w:bookmarkStart w:id="918" w:name="_Toc17902"/>
      <w:bookmarkStart w:id="919" w:name="_Toc24998"/>
      <w:bookmarkStart w:id="920" w:name="_Toc17306"/>
      <w:bookmarkStart w:id="921" w:name="_Toc32591"/>
      <w:bookmarkStart w:id="922" w:name="_Toc29124"/>
      <w:bookmarkStart w:id="923" w:name="_Toc2354"/>
      <w:r>
        <w:rPr>
          <w:rFonts w:hint="eastAsia" w:ascii="黑体" w:hAnsi="黑体" w:eastAsia="黑体" w:cs="黑体"/>
          <w:b w:val="0"/>
          <w:bCs/>
          <w:color w:val="000000"/>
          <w:sz w:val="30"/>
          <w:szCs w:val="30"/>
          <w:lang w:eastAsia="zh-CN"/>
        </w:rPr>
        <w:t>三、</w:t>
      </w:r>
      <w:r>
        <w:rPr>
          <w:rFonts w:hint="eastAsia" w:ascii="黑体" w:hAnsi="黑体" w:eastAsia="黑体" w:cs="黑体"/>
          <w:b w:val="0"/>
          <w:bCs/>
          <w:color w:val="000000"/>
          <w:sz w:val="30"/>
          <w:szCs w:val="30"/>
        </w:rPr>
        <w:t>融入“海丝”核心区</w:t>
      </w:r>
      <w:bookmarkEnd w:id="916"/>
      <w:bookmarkEnd w:id="917"/>
      <w:bookmarkEnd w:id="918"/>
      <w:bookmarkEnd w:id="919"/>
      <w:bookmarkEnd w:id="920"/>
      <w:bookmarkEnd w:id="921"/>
      <w:bookmarkEnd w:id="922"/>
      <w:bookmarkEnd w:id="923"/>
    </w:p>
    <w:p>
      <w:pPr>
        <w:adjustRightInd w:val="0"/>
        <w:snapToGrid w:val="0"/>
        <w:spacing w:line="560"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扩大蔬菜、水果、食用菌、茶叶等优势特色农产品出口，重点抓好5个农产品出口示范基地建设。建设加大对东盟的农产品出口，积极开拓南亚、西亚及非洲等海上丝绸之路沿线国家和地区新兴市场。用好“海创会”“厦洽会”等各类经贸对接会平台和外贸“百展万企”和“闽货天下行”计划，每年组织相关农产品企业参加境内外专业优质展会。积极开发太平洋和印度洋公海渔业资源，建立与海丝沿线国家长期稳定的渔业捕捞合作关系。支持重点龙头企业设立境外农业种植生产基地、境外远洋渔业生产基地、水产养殖基地、冷藏加工基地和服务保障平台建设，支持企业进行农海产品交易、水产渔业生产、加工，努力实现农海产品线上交易、线下交割、人民币结算，打造国际知名的宁德品牌。</w:t>
      </w:r>
    </w:p>
    <w:p>
      <w:pPr>
        <w:pStyle w:val="21"/>
        <w:adjustRightInd w:val="0"/>
        <w:snapToGrid w:val="0"/>
        <w:spacing w:line="560" w:lineRule="exact"/>
        <w:ind w:firstLine="640"/>
      </w:pPr>
    </w:p>
    <w:p>
      <w:pPr>
        <w:pStyle w:val="4"/>
        <w:adjustRightInd w:val="0"/>
        <w:snapToGrid w:val="0"/>
        <w:spacing w:line="560" w:lineRule="exact"/>
        <w:rPr>
          <w:rFonts w:ascii="楷体_GB2312" w:hAnsi="楷体_GB2312" w:eastAsia="楷体_GB2312" w:cs="楷体_GB2312"/>
          <w:color w:val="000000"/>
          <w:szCs w:val="32"/>
        </w:rPr>
      </w:pPr>
      <w:bookmarkStart w:id="924" w:name="_Toc123"/>
      <w:bookmarkStart w:id="925" w:name="_Toc31594"/>
      <w:bookmarkStart w:id="926" w:name="_Toc25072"/>
      <w:bookmarkStart w:id="927" w:name="_Toc14827"/>
      <w:bookmarkStart w:id="928" w:name="_Toc23437"/>
      <w:bookmarkStart w:id="929" w:name="_Toc16119"/>
      <w:bookmarkStart w:id="930" w:name="_Toc15901"/>
      <w:bookmarkStart w:id="931" w:name="_Toc29295"/>
      <w:r>
        <w:rPr>
          <w:rFonts w:hint="eastAsia" w:ascii="楷体_GB2312" w:hAnsi="楷体_GB2312" w:eastAsia="楷体_GB2312" w:cs="楷体_GB2312"/>
          <w:color w:val="000000"/>
          <w:szCs w:val="32"/>
        </w:rPr>
        <w:t xml:space="preserve">第五节 </w:t>
      </w:r>
      <w:bookmarkEnd w:id="924"/>
      <w:bookmarkEnd w:id="925"/>
      <w:bookmarkEnd w:id="926"/>
      <w:bookmarkEnd w:id="927"/>
      <w:bookmarkEnd w:id="928"/>
      <w:bookmarkEnd w:id="929"/>
      <w:bookmarkEnd w:id="930"/>
      <w:bookmarkEnd w:id="931"/>
      <w:r>
        <w:rPr>
          <w:rFonts w:hint="eastAsia" w:ascii="楷体_GB2312" w:hAnsi="楷体_GB2312" w:eastAsia="楷体_GB2312" w:cs="楷体_GB2312"/>
          <w:color w:val="000000"/>
          <w:szCs w:val="32"/>
        </w:rPr>
        <w:t>巩固拓展脱贫攻坚成果同乡村振兴有效衔接</w:t>
      </w:r>
    </w:p>
    <w:p>
      <w:pPr>
        <w:adjustRightInd w:val="0"/>
        <w:snapToGrid w:val="0"/>
        <w:spacing w:line="560" w:lineRule="exact"/>
        <w:ind w:firstLine="600"/>
        <w:rPr>
          <w:rFonts w:ascii="仿宋_GB2312" w:hAnsi="仿宋_GB2312" w:cs="仿宋_GB2312"/>
          <w:color w:val="000000"/>
          <w:sz w:val="30"/>
          <w:szCs w:val="30"/>
        </w:rPr>
      </w:pPr>
    </w:p>
    <w:p>
      <w:pPr>
        <w:adjustRightInd w:val="0"/>
        <w:snapToGrid w:val="0"/>
        <w:spacing w:line="560" w:lineRule="exact"/>
        <w:ind w:firstLine="600"/>
        <w:rPr>
          <w:rFonts w:ascii="仿宋_GB2312" w:hAnsi="仿宋_GB2312" w:cs="仿宋_GB2312"/>
          <w:b w:val="0"/>
          <w:bCs/>
          <w:color w:val="000000"/>
          <w:sz w:val="30"/>
          <w:szCs w:val="30"/>
        </w:rPr>
      </w:pPr>
      <w:r>
        <w:rPr>
          <w:rFonts w:hint="eastAsia" w:ascii="仿宋_GB2312" w:hAnsi="仿宋_GB2312" w:cs="仿宋_GB2312"/>
          <w:color w:val="000000"/>
          <w:sz w:val="30"/>
          <w:szCs w:val="30"/>
        </w:rPr>
        <w:t>在已实现全面脱贫工作成效基础上，重点考虑做好四个方面有机衔接乡村振兴工作。一是保持主要帮扶政策相对稳定。在5年过渡期内严格落实“四个不摘”要求，落实行业主管部门工作责任；二是完善返贫预警监测和帮扶机制。将省“一键报贫”系统和全市防止返贫动态排查相结合，开展常态化监测预警，持续跟踪产业就业和“两不愁三保障”情况。健全快速发现和响应机制，及时将脱贫不稳定户、边缘易致贫户、以及因病因灾意外事故等刚性支出较大或收入大幅缩减导致基本生活出现严重困难户（简称突发困难户）纳入监测范围，按户造册、单列管理。坚持预防性措施和事后帮扶相结合，优先安排帮扶资金予以重点扶持，强化临时救助和保障兜底，多措并举防止致贫返贫；三是健全针对性、精准化帮扶。对有劳动能力的农村低收入人口，坚持开发式帮扶，帮助提高内生发展能力，发展产业、参与就业；四是提升已脱贫地区和人口内生发展能力。注重产业后续长期培育，以脱贫县为单位规划发展乡村特色产业，实施特色种养业提升行动，完善全产业链支持措施。持续加大产业扶持力度，支持脱贫地区产业做大做强，培育绿色食品、有机农产品、地理标志农产品，打造区域公用品牌。深化拓展消费帮扶，促进农产品产销对接。加快脱贫地区农产品和食品仓储保鲜、冷链物流设施建设，支持农产品流通企业、电商、批发市场与区域特色产业精准对接。现代农业产业园、科技园、产业融合发展示范园继续优先支持脱贫县。</w:t>
      </w:r>
    </w:p>
    <w:tbl>
      <w:tblPr>
        <w:tblStyle w:val="16"/>
        <w:tblW w:w="8495" w:type="dxa"/>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8495" w:type="dxa"/>
            <w:tcBorders>
              <w:top w:val="single" w:color="auto" w:sz="4" w:space="0"/>
            </w:tcBorders>
            <w:noWrap w:val="0"/>
            <w:vAlign w:val="top"/>
          </w:tcPr>
          <w:p>
            <w:pPr>
              <w:spacing w:beforeLines="50" w:line="360" w:lineRule="exact"/>
              <w:ind w:firstLine="0" w:firstLineChars="0"/>
              <w:jc w:val="center"/>
              <w:rPr>
                <w:rFonts w:ascii="楷体" w:hAnsi="楷体" w:eastAsia="楷体" w:cs="楷体"/>
                <w:b/>
                <w:bCs/>
                <w:color w:val="000000"/>
                <w:sz w:val="28"/>
                <w:szCs w:val="28"/>
              </w:rPr>
            </w:pPr>
            <w:bookmarkStart w:id="932" w:name="_Toc15301"/>
            <w:bookmarkStart w:id="933" w:name="_Toc22239"/>
            <w:bookmarkStart w:id="934" w:name="_Toc28031"/>
            <w:bookmarkStart w:id="935" w:name="_Toc30364"/>
            <w:bookmarkStart w:id="936" w:name="_Toc16838"/>
            <w:bookmarkStart w:id="937" w:name="_Toc17176"/>
            <w:bookmarkStart w:id="938" w:name="_Toc23229"/>
            <w:r>
              <w:rPr>
                <w:rFonts w:hint="eastAsia" w:ascii="黑体" w:hAnsi="黑体" w:eastAsia="黑体" w:cs="黑体"/>
                <w:b w:val="0"/>
                <w:bCs/>
                <w:color w:val="000000"/>
                <w:sz w:val="30"/>
                <w:szCs w:val="30"/>
              </w:rPr>
              <w:t>专栏11：特色现代农业支持保护行动</w:t>
            </w:r>
            <w:bookmarkEnd w:id="932"/>
            <w:bookmarkEnd w:id="933"/>
            <w:bookmarkEnd w:id="934"/>
            <w:bookmarkEnd w:id="935"/>
            <w:bookmarkEnd w:id="936"/>
            <w:bookmarkEnd w:id="937"/>
            <w:bookmarkEnd w:id="9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8495" w:type="dxa"/>
            <w:tcBorders>
              <w:top w:val="single" w:color="auto" w:sz="4" w:space="0"/>
            </w:tcBorders>
            <w:noWrap w:val="0"/>
            <w:vAlign w:val="top"/>
          </w:tcPr>
          <w:p>
            <w:pPr>
              <w:spacing w:line="460" w:lineRule="exact"/>
              <w:ind w:firstLine="482"/>
              <w:rPr>
                <w:rFonts w:ascii="仿宋_GB2312" w:hAnsi="仿宋_GB2312" w:cs="仿宋_GB2312"/>
                <w:color w:val="000000"/>
                <w:spacing w:val="-6"/>
                <w:sz w:val="24"/>
              </w:rPr>
            </w:pPr>
            <w:r>
              <w:rPr>
                <w:rFonts w:hint="eastAsia" w:ascii="仿宋_GB2312" w:hAnsi="仿宋_GB2312" w:cs="仿宋_GB2312"/>
                <w:b/>
                <w:bCs/>
                <w:color w:val="000000"/>
                <w:spacing w:val="-6"/>
                <w:sz w:val="24"/>
              </w:rPr>
              <w:t>1.农技推广联盟建设工程：</w:t>
            </w:r>
            <w:r>
              <w:rPr>
                <w:rFonts w:hint="eastAsia" w:ascii="仿宋_GB2312" w:hAnsi="仿宋_GB2312" w:cs="仿宋_GB2312"/>
                <w:color w:val="000000"/>
                <w:spacing w:val="-6"/>
                <w:sz w:val="24"/>
              </w:rPr>
              <w:t>围绕全市特色现代农业发展，健全食用菌、茶叶、水果、蔬菜、畜禽、渔业等产业技术团队，加强与福建农林大学、福建省农科院等涉农院校合作，着力构建农科教结合、产学研一体化的农技推广联盟，聘请院校专家教授担任首席科学家和顾问，对接产业技术团队，链接生产主体，建立“一个主导（特色）产业、一个技术团队、一批示范基地（户）”的农技推广应用和科技服务机制。院校地合作、农技推广联盟运行经费每年列入市财政预算安排。</w:t>
            </w:r>
          </w:p>
          <w:p>
            <w:pPr>
              <w:spacing w:line="460" w:lineRule="exact"/>
              <w:ind w:firstLine="482"/>
              <w:rPr>
                <w:rFonts w:ascii="仿宋_GB2312" w:hAnsi="仿宋_GB2312" w:cs="仿宋_GB2312"/>
                <w:b/>
                <w:bCs/>
                <w:color w:val="000000"/>
                <w:sz w:val="24"/>
              </w:rPr>
            </w:pPr>
            <w:r>
              <w:rPr>
                <w:rFonts w:hint="eastAsia" w:ascii="仿宋_GB2312" w:hAnsi="仿宋_GB2312" w:cs="仿宋_GB2312"/>
                <w:b/>
                <w:bCs/>
                <w:color w:val="000000"/>
                <w:sz w:val="24"/>
              </w:rPr>
              <w:t>2.防范农业灾害风险工程：</w:t>
            </w:r>
            <w:r>
              <w:rPr>
                <w:rFonts w:hint="eastAsia" w:ascii="仿宋_GB2312" w:hAnsi="仿宋_GB2312" w:cs="仿宋_GB2312"/>
                <w:color w:val="000000"/>
                <w:sz w:val="24"/>
              </w:rPr>
              <w:t>一是在各县（市、区）建设基层气象观测站，二是开展中小河流、山洪和地质气象灾害等气象风险预警业务，推进预警信息发布中心建设，完善预警信息发布机制，健全预警信息发布渠道。开发完善“宁德气象”等气象微信公众号，利用新媒体将气象信息深度融入群众生活中。</w:t>
            </w:r>
          </w:p>
          <w:p>
            <w:pPr>
              <w:spacing w:line="460" w:lineRule="exact"/>
              <w:ind w:firstLine="482"/>
              <w:rPr>
                <w:rFonts w:ascii="仿宋_GB2312" w:hAnsi="仿宋_GB2312" w:cs="仿宋_GB2312"/>
                <w:color w:val="000000"/>
                <w:sz w:val="24"/>
              </w:rPr>
            </w:pPr>
            <w:r>
              <w:rPr>
                <w:rFonts w:hint="eastAsia" w:ascii="仿宋_GB2312" w:hAnsi="仿宋_GB2312" w:cs="仿宋_GB2312"/>
                <w:b/>
                <w:bCs/>
                <w:color w:val="000000"/>
                <w:sz w:val="24"/>
              </w:rPr>
              <w:t>3.新型农村集体经济振兴工程:</w:t>
            </w:r>
            <w:r>
              <w:rPr>
                <w:rFonts w:hint="eastAsia" w:ascii="仿宋_GB2312" w:hAnsi="仿宋_GB2312" w:cs="仿宋_GB2312"/>
                <w:color w:val="000000"/>
                <w:sz w:val="24"/>
              </w:rPr>
              <w:t>稳步推进农村集体产权制度改革，实现农村集体产权制度改革试点覆盖所有涉农县（市、区）；实施“村级集体经济发展行动”，增强集体经济发展活力和实力。</w:t>
            </w:r>
          </w:p>
          <w:p>
            <w:pPr>
              <w:spacing w:line="460" w:lineRule="exact"/>
              <w:ind w:firstLine="482"/>
              <w:rPr>
                <w:rFonts w:ascii="仿宋_GB2312" w:hAnsi="仿宋_GB2312" w:cs="仿宋_GB2312"/>
                <w:b/>
                <w:bCs/>
                <w:color w:val="000000"/>
                <w:spacing w:val="-11"/>
                <w:sz w:val="24"/>
              </w:rPr>
            </w:pPr>
            <w:r>
              <w:rPr>
                <w:rFonts w:hint="eastAsia" w:ascii="仿宋_GB2312" w:hAnsi="仿宋_GB2312" w:cs="仿宋_GB2312"/>
                <w:b/>
                <w:bCs/>
                <w:color w:val="000000"/>
                <w:spacing w:val="-11"/>
                <w:sz w:val="24"/>
              </w:rPr>
              <w:t>4.宁台农业融合发展产业园建设：</w:t>
            </w:r>
            <w:r>
              <w:rPr>
                <w:rFonts w:hint="eastAsia" w:ascii="仿宋_GB2312" w:hAnsi="仿宋_GB2312" w:cs="仿宋_GB2312"/>
                <w:color w:val="000000"/>
                <w:spacing w:val="-11"/>
                <w:sz w:val="24"/>
              </w:rPr>
              <w:t>围绕设施农业、精致农业、农产品精深加工及休闲农业等，集成推广台湾农业良种及其配套技术，加强深加工产品研发，培育一批宁台现代农业合作园区、示范区或基地，打造具有一定影响力的东南沿海绿色食品产业基地。</w:t>
            </w:r>
          </w:p>
          <w:p>
            <w:pPr>
              <w:spacing w:line="460" w:lineRule="exact"/>
              <w:ind w:firstLine="482"/>
              <w:rPr>
                <w:rFonts w:ascii="仿宋_GB2312" w:hAnsi="仿宋_GB2312" w:cs="仿宋_GB2312"/>
                <w:color w:val="000000"/>
                <w:sz w:val="24"/>
              </w:rPr>
            </w:pPr>
            <w:r>
              <w:rPr>
                <w:rFonts w:hint="eastAsia" w:ascii="仿宋_GB2312" w:hAnsi="仿宋_GB2312" w:cs="仿宋_GB2312"/>
                <w:b/>
                <w:bCs/>
                <w:color w:val="000000"/>
                <w:sz w:val="24"/>
              </w:rPr>
              <w:t>5.农产品出口提升项目：</w:t>
            </w:r>
            <w:r>
              <w:rPr>
                <w:rFonts w:hint="eastAsia" w:ascii="仿宋_GB2312" w:hAnsi="仿宋_GB2312" w:cs="仿宋_GB2312"/>
                <w:color w:val="000000"/>
                <w:sz w:val="24"/>
              </w:rPr>
              <w:t>突出优势特色产业，创建国际标准农产品示范基地，支持企业完善基础设施，推广水肥一体化等高新技术，开展产品或生产管理体系认证，加强可追溯管理，注重品牌培育，提高全市出口农产品国际竞争力。支持农产品生产、加工、贸易企业参加国际知名专业展会，开展宣传推介活动，巩固传统出口市场，重点拓展一带一路沿线国家新兴市场。</w:t>
            </w:r>
          </w:p>
          <w:p>
            <w:pPr>
              <w:spacing w:line="460" w:lineRule="exact"/>
              <w:ind w:firstLine="482"/>
              <w:rPr>
                <w:rFonts w:ascii="仿宋_GB2312" w:cs="宋体"/>
                <w:color w:val="000000"/>
                <w:szCs w:val="32"/>
              </w:rPr>
            </w:pPr>
            <w:r>
              <w:rPr>
                <w:rFonts w:hint="eastAsia" w:ascii="仿宋_GB2312" w:hAnsi="仿宋_GB2312" w:cs="仿宋_GB2312"/>
                <w:b/>
                <w:bCs/>
                <w:color w:val="000000"/>
                <w:sz w:val="24"/>
              </w:rPr>
              <w:t>6.村级集体经济“提质强村”项目：</w:t>
            </w:r>
            <w:r>
              <w:rPr>
                <w:rFonts w:hint="eastAsia" w:ascii="仿宋_GB2312" w:hAnsi="仿宋_GB2312" w:cs="仿宋_GB2312"/>
                <w:color w:val="000000"/>
                <w:sz w:val="24"/>
              </w:rPr>
              <w:t>牢记习近平总书记在宁德工作期间关于“扶贫要注意增强乡村两级集体经济实力”的重要论述，大力实施村级集体经济“提质强村”行动，每年拿出1000万元，扶持集体经济年经营性收入低于15万元的“相对薄弱村”。充分发挥闽东时代乡村振兴基金作用，坚持以农村集体资产、资源、资金等要素有效利用为纽带，因地制宜探索资源开发、资产增值、物业租赁、服务创收等多种增收模式，推动村级集体经济持续健康发展</w:t>
            </w:r>
            <w:r>
              <w:rPr>
                <w:rFonts w:hint="eastAsia" w:ascii="楷体" w:hAnsi="楷体" w:eastAsia="楷体" w:cs="楷体"/>
                <w:color w:val="000000"/>
                <w:sz w:val="24"/>
              </w:rPr>
              <w:t>。</w:t>
            </w:r>
          </w:p>
        </w:tc>
      </w:tr>
    </w:tbl>
    <w:p>
      <w:pPr>
        <w:adjustRightInd w:val="0"/>
        <w:snapToGrid w:val="0"/>
        <w:spacing w:line="596" w:lineRule="exact"/>
        <w:ind w:firstLine="640"/>
        <w:rPr>
          <w:color w:val="000000"/>
          <w:sz w:val="30"/>
          <w:szCs w:val="30"/>
        </w:rPr>
      </w:pPr>
      <w:r>
        <w:rPr>
          <w:rFonts w:hint="eastAsia"/>
          <w:color w:val="000000"/>
        </w:rPr>
        <w:br w:type="page"/>
      </w:r>
      <w:bookmarkStart w:id="939" w:name="_Toc26146"/>
      <w:bookmarkStart w:id="940" w:name="_Toc27698"/>
      <w:bookmarkStart w:id="941" w:name="_Toc24105"/>
      <w:bookmarkStart w:id="942" w:name="_Toc24978"/>
      <w:bookmarkStart w:id="943" w:name="_Toc22994"/>
      <w:bookmarkStart w:id="944" w:name="_Toc14795"/>
      <w:bookmarkStart w:id="945" w:name="_Toc1786"/>
    </w:p>
    <w:p>
      <w:pPr>
        <w:pStyle w:val="3"/>
        <w:adjustRightInd w:val="0"/>
        <w:snapToGrid w:val="0"/>
        <w:spacing w:before="0" w:after="0" w:line="596" w:lineRule="exact"/>
        <w:rPr>
          <w:b w:val="0"/>
          <w:bCs/>
          <w:color w:val="000000"/>
          <w:sz w:val="32"/>
        </w:rPr>
      </w:pPr>
      <w:bookmarkStart w:id="946" w:name="_Toc4266"/>
      <w:r>
        <w:rPr>
          <w:rFonts w:hint="eastAsia"/>
          <w:b w:val="0"/>
          <w:bCs/>
          <w:color w:val="000000"/>
          <w:sz w:val="32"/>
        </w:rPr>
        <w:t>第十一章　保障措施</w:t>
      </w:r>
      <w:bookmarkEnd w:id="939"/>
      <w:bookmarkEnd w:id="940"/>
      <w:bookmarkEnd w:id="941"/>
      <w:bookmarkEnd w:id="942"/>
      <w:bookmarkEnd w:id="943"/>
      <w:bookmarkEnd w:id="944"/>
      <w:bookmarkEnd w:id="945"/>
      <w:bookmarkEnd w:id="946"/>
    </w:p>
    <w:p>
      <w:pPr>
        <w:adjustRightInd w:val="0"/>
        <w:snapToGrid w:val="0"/>
        <w:spacing w:line="596" w:lineRule="exact"/>
        <w:ind w:firstLine="640"/>
      </w:pPr>
      <w:bookmarkStart w:id="947" w:name="_Toc8926"/>
      <w:bookmarkStart w:id="948" w:name="_Toc20947"/>
      <w:bookmarkStart w:id="949" w:name="_Toc2362"/>
      <w:bookmarkStart w:id="950" w:name="_Toc8280"/>
      <w:bookmarkStart w:id="951" w:name="_Toc24516"/>
      <w:bookmarkStart w:id="952" w:name="_Toc31528"/>
      <w:bookmarkStart w:id="953" w:name="_Toc1643"/>
    </w:p>
    <w:p>
      <w:pPr>
        <w:pStyle w:val="4"/>
        <w:adjustRightInd w:val="0"/>
        <w:snapToGrid w:val="0"/>
        <w:spacing w:line="596" w:lineRule="exact"/>
        <w:rPr>
          <w:rFonts w:ascii="楷体_GB2312" w:hAnsi="楷体_GB2312" w:eastAsia="楷体_GB2312" w:cs="楷体_GB2312"/>
          <w:color w:val="000000"/>
          <w:szCs w:val="32"/>
        </w:rPr>
      </w:pPr>
      <w:bookmarkStart w:id="954" w:name="_Toc9002"/>
      <w:r>
        <w:rPr>
          <w:rFonts w:hint="eastAsia" w:ascii="楷体_GB2312" w:hAnsi="楷体_GB2312" w:eastAsia="楷体_GB2312" w:cs="楷体_GB2312"/>
          <w:color w:val="000000"/>
          <w:szCs w:val="32"/>
        </w:rPr>
        <w:t>第一节 加强农业组织领导</w:t>
      </w:r>
      <w:bookmarkEnd w:id="947"/>
      <w:bookmarkEnd w:id="948"/>
      <w:bookmarkEnd w:id="949"/>
      <w:bookmarkEnd w:id="950"/>
      <w:bookmarkEnd w:id="951"/>
      <w:bookmarkEnd w:id="952"/>
      <w:bookmarkEnd w:id="953"/>
      <w:bookmarkEnd w:id="954"/>
    </w:p>
    <w:p>
      <w:pPr>
        <w:adjustRightInd w:val="0"/>
        <w:snapToGrid w:val="0"/>
        <w:spacing w:line="596" w:lineRule="exact"/>
        <w:ind w:firstLine="600"/>
        <w:rPr>
          <w:color w:val="000000"/>
          <w:sz w:val="30"/>
          <w:szCs w:val="30"/>
        </w:rPr>
      </w:pPr>
    </w:p>
    <w:p>
      <w:pPr>
        <w:adjustRightInd w:val="0"/>
        <w:snapToGrid w:val="0"/>
        <w:spacing w:line="596" w:lineRule="exact"/>
        <w:ind w:firstLine="600"/>
        <w:rPr>
          <w:rFonts w:ascii="仿宋_GB2312" w:hAnsi="仿宋_GB2312" w:cs="仿宋_GB2312"/>
          <w:color w:val="000000"/>
          <w:sz w:val="30"/>
          <w:szCs w:val="30"/>
        </w:rPr>
      </w:pPr>
      <w:r>
        <w:rPr>
          <w:rFonts w:hint="eastAsia" w:ascii="仿宋_GB2312" w:hAnsi="仿宋_GB2312" w:cs="仿宋_GB2312"/>
          <w:color w:val="000000"/>
          <w:sz w:val="30"/>
          <w:szCs w:val="30"/>
        </w:rPr>
        <w:t>成立宁德市特色现代农业发展领导小组，定期召开会议进行研究，及时解决特色现代农业发展中遇到的困难和问题。各县（市、区）成立相应的组织机构，形成统一领导、分工负责、目标明确、协作配合、职责落实的工作机制。同时将特色现代农业重点项目、重点工程列入市政府绩效考核的内容，通过加大考核力度，落实奖惩措施，推动特色现代农业快速发展。</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Cs w:val="32"/>
        </w:rPr>
      </w:pPr>
      <w:bookmarkStart w:id="955" w:name="_Toc10630"/>
      <w:bookmarkStart w:id="956" w:name="_Toc736"/>
      <w:bookmarkStart w:id="957" w:name="_Toc11099"/>
      <w:bookmarkStart w:id="958" w:name="_Toc5213"/>
      <w:bookmarkStart w:id="959" w:name="_Toc13686"/>
      <w:bookmarkStart w:id="960" w:name="_Toc23267"/>
      <w:bookmarkStart w:id="961" w:name="_Toc23672"/>
      <w:bookmarkStart w:id="962" w:name="_Toc150"/>
      <w:r>
        <w:rPr>
          <w:rFonts w:hint="eastAsia" w:ascii="楷体_GB2312" w:hAnsi="楷体_GB2312" w:eastAsia="楷体_GB2312" w:cs="楷体_GB2312"/>
          <w:color w:val="000000"/>
          <w:szCs w:val="32"/>
        </w:rPr>
        <w:t>第二节 强化农业法治保障</w:t>
      </w:r>
      <w:bookmarkEnd w:id="955"/>
      <w:bookmarkEnd w:id="956"/>
      <w:bookmarkEnd w:id="957"/>
      <w:bookmarkEnd w:id="958"/>
      <w:bookmarkEnd w:id="959"/>
      <w:bookmarkEnd w:id="960"/>
      <w:bookmarkEnd w:id="961"/>
      <w:bookmarkEnd w:id="962"/>
    </w:p>
    <w:p>
      <w:pPr>
        <w:adjustRightInd w:val="0"/>
        <w:snapToGrid w:val="0"/>
        <w:spacing w:line="596" w:lineRule="exact"/>
        <w:ind w:firstLine="601"/>
        <w:rPr>
          <w:color w:val="000000"/>
          <w:sz w:val="30"/>
          <w:szCs w:val="30"/>
        </w:rPr>
      </w:pPr>
    </w:p>
    <w:p>
      <w:pPr>
        <w:adjustRightInd w:val="0"/>
        <w:snapToGrid w:val="0"/>
        <w:spacing w:line="596" w:lineRule="exact"/>
        <w:ind w:firstLine="601"/>
        <w:rPr>
          <w:color w:val="000000"/>
          <w:spacing w:val="-6"/>
          <w:sz w:val="30"/>
          <w:szCs w:val="30"/>
        </w:rPr>
      </w:pPr>
      <w:r>
        <w:rPr>
          <w:rFonts w:hint="eastAsia"/>
          <w:color w:val="000000"/>
          <w:sz w:val="30"/>
          <w:szCs w:val="30"/>
        </w:rPr>
        <w:t>强化乡村振兴促进法和国土空间规划对本规划提出的产业提升工程及空间开发保护活动的指导约束作用。坚持依法行政，认真贯彻落实各项涉农法律法规。建立农业行政执法管理体系，加快贯彻落实乡村振兴促进法、农产品质量安全法、农民权益保护法等法律法规，依法保护农业资源，保障农民的各项合法权益。加强对农业法律法规</w:t>
      </w:r>
      <w:r>
        <w:rPr>
          <w:rFonts w:hint="eastAsia"/>
          <w:color w:val="000000"/>
          <w:spacing w:val="-6"/>
          <w:sz w:val="30"/>
          <w:szCs w:val="30"/>
        </w:rPr>
        <w:t>的宣传教育与普及，使法律深入人心，培养广大农民的法制意识及法制观念，对违法违规行为进行处理，维护农业、农村和农民的利益，用法律保护农民的合法权益，为农业和农村经济的持续发展提供安全保障。</w:t>
      </w:r>
    </w:p>
    <w:p>
      <w:pPr>
        <w:pStyle w:val="4"/>
        <w:adjustRightInd w:val="0"/>
        <w:snapToGrid w:val="0"/>
        <w:spacing w:line="596" w:lineRule="exact"/>
        <w:rPr>
          <w:rFonts w:hint="eastAsia" w:ascii="楷体_GB2312" w:hAnsi="楷体_GB2312" w:eastAsia="楷体_GB2312" w:cs="楷体_GB2312"/>
          <w:color w:val="000000"/>
          <w:szCs w:val="32"/>
        </w:rPr>
      </w:pPr>
      <w:bookmarkStart w:id="963" w:name="_Toc23392"/>
      <w:bookmarkStart w:id="964" w:name="_Toc9040"/>
      <w:bookmarkStart w:id="965" w:name="_Toc31105"/>
      <w:bookmarkStart w:id="966" w:name="_Toc31998"/>
      <w:bookmarkStart w:id="967" w:name="_Toc18576"/>
      <w:bookmarkStart w:id="968" w:name="_Toc31139"/>
      <w:bookmarkStart w:id="969" w:name="_Toc28293"/>
      <w:bookmarkStart w:id="970" w:name="_Toc17656"/>
    </w:p>
    <w:p>
      <w:pPr>
        <w:pStyle w:val="4"/>
        <w:adjustRightInd w:val="0"/>
        <w:snapToGrid w:val="0"/>
        <w:spacing w:line="596" w:lineRule="exact"/>
        <w:rPr>
          <w:rFonts w:ascii="楷体_GB2312" w:hAnsi="楷体_GB2312" w:eastAsia="楷体_GB2312" w:cs="楷体_GB2312"/>
          <w:color w:val="000000"/>
          <w:szCs w:val="32"/>
        </w:rPr>
      </w:pPr>
      <w:r>
        <w:rPr>
          <w:rFonts w:hint="eastAsia" w:ascii="楷体_GB2312" w:hAnsi="楷体_GB2312" w:eastAsia="楷体_GB2312" w:cs="楷体_GB2312"/>
          <w:color w:val="000000"/>
          <w:szCs w:val="32"/>
        </w:rPr>
        <w:t>第三节 优化农业发展环境</w:t>
      </w:r>
      <w:bookmarkEnd w:id="963"/>
      <w:bookmarkEnd w:id="964"/>
      <w:bookmarkEnd w:id="965"/>
      <w:bookmarkEnd w:id="966"/>
      <w:bookmarkEnd w:id="967"/>
      <w:bookmarkEnd w:id="968"/>
      <w:bookmarkEnd w:id="969"/>
      <w:bookmarkEnd w:id="970"/>
    </w:p>
    <w:p>
      <w:pPr>
        <w:adjustRightInd w:val="0"/>
        <w:snapToGrid w:val="0"/>
        <w:spacing w:line="596" w:lineRule="exact"/>
        <w:ind w:firstLine="600"/>
        <w:rPr>
          <w:color w:val="000000"/>
          <w:sz w:val="30"/>
          <w:szCs w:val="30"/>
        </w:rPr>
      </w:pPr>
    </w:p>
    <w:p>
      <w:pPr>
        <w:adjustRightInd w:val="0"/>
        <w:snapToGrid w:val="0"/>
        <w:spacing w:line="596" w:lineRule="exact"/>
        <w:ind w:firstLine="600"/>
        <w:rPr>
          <w:rFonts w:ascii="仿宋_GB2312" w:hAnsi="仿宋_GB2312" w:cs="仿宋_GB2312"/>
          <w:color w:val="000000"/>
          <w:spacing w:val="-6"/>
          <w:sz w:val="30"/>
          <w:szCs w:val="30"/>
        </w:rPr>
      </w:pPr>
      <w:r>
        <w:rPr>
          <w:rFonts w:hint="eastAsia" w:ascii="仿宋_GB2312" w:hAnsi="仿宋_GB2312" w:cs="仿宋_GB2312"/>
          <w:color w:val="000000"/>
          <w:sz w:val="30"/>
          <w:szCs w:val="30"/>
        </w:rPr>
        <w:t>进一步完善特色现代农业产前、产中、产后服务的政策保障体系。按照依法、自愿、有偿的原则，积极探索土地资源整合利用新模式，通过集成土地资源实现园区化、集约化、企业化、市场化运作经营，为不同性质土地资源整合利用和优化配置探索路径。探索政策性农业保险和由政府、企业及农户三方共同构成的风险互助等</w:t>
      </w:r>
      <w:r>
        <w:rPr>
          <w:rFonts w:hint="eastAsia" w:ascii="仿宋_GB2312" w:hAnsi="仿宋_GB2312" w:cs="仿宋_GB2312"/>
          <w:color w:val="000000"/>
          <w:spacing w:val="-6"/>
          <w:sz w:val="30"/>
          <w:szCs w:val="30"/>
        </w:rPr>
        <w:t>农业风险保障机制，确保特色现代农业的稳步发展。探索多渠道、多形式的生态补偿方式，加强对基本农田、水源地、生态湿地的保护。</w:t>
      </w:r>
    </w:p>
    <w:p>
      <w:pPr>
        <w:pStyle w:val="21"/>
        <w:adjustRightInd w:val="0"/>
        <w:snapToGrid w:val="0"/>
        <w:spacing w:line="596" w:lineRule="exact"/>
        <w:ind w:firstLine="640"/>
      </w:pPr>
    </w:p>
    <w:p>
      <w:pPr>
        <w:pStyle w:val="4"/>
        <w:adjustRightInd w:val="0"/>
        <w:snapToGrid w:val="0"/>
        <w:spacing w:line="596" w:lineRule="exact"/>
        <w:rPr>
          <w:rFonts w:ascii="楷体_GB2312" w:hAnsi="楷体_GB2312" w:eastAsia="楷体_GB2312" w:cs="楷体_GB2312"/>
          <w:color w:val="000000"/>
          <w:szCs w:val="32"/>
        </w:rPr>
      </w:pPr>
      <w:bookmarkStart w:id="971" w:name="_Toc23904"/>
      <w:bookmarkStart w:id="972" w:name="_Toc27294"/>
      <w:bookmarkStart w:id="973" w:name="_Toc30507"/>
      <w:bookmarkStart w:id="974" w:name="_Toc29387"/>
      <w:bookmarkStart w:id="975" w:name="_Toc14406"/>
      <w:bookmarkStart w:id="976" w:name="_Toc13837"/>
      <w:bookmarkStart w:id="977" w:name="_Toc16864"/>
      <w:bookmarkStart w:id="978" w:name="_Toc29379"/>
      <w:r>
        <w:rPr>
          <w:rFonts w:hint="eastAsia" w:ascii="楷体_GB2312" w:hAnsi="楷体_GB2312" w:eastAsia="楷体_GB2312" w:cs="楷体_GB2312"/>
          <w:color w:val="000000"/>
          <w:szCs w:val="32"/>
        </w:rPr>
        <w:t>第四节 推进农业项目带动</w:t>
      </w:r>
      <w:bookmarkEnd w:id="971"/>
      <w:bookmarkEnd w:id="972"/>
      <w:bookmarkEnd w:id="973"/>
      <w:bookmarkEnd w:id="974"/>
      <w:bookmarkEnd w:id="975"/>
      <w:bookmarkEnd w:id="976"/>
      <w:bookmarkEnd w:id="977"/>
      <w:bookmarkEnd w:id="978"/>
    </w:p>
    <w:p>
      <w:pPr>
        <w:adjustRightInd w:val="0"/>
        <w:snapToGrid w:val="0"/>
        <w:spacing w:line="596" w:lineRule="exact"/>
        <w:ind w:firstLine="600"/>
        <w:rPr>
          <w:color w:val="000000"/>
          <w:sz w:val="30"/>
          <w:szCs w:val="30"/>
        </w:rPr>
      </w:pPr>
    </w:p>
    <w:p>
      <w:pPr>
        <w:adjustRightInd w:val="0"/>
        <w:snapToGrid w:val="0"/>
        <w:spacing w:line="596" w:lineRule="exact"/>
        <w:ind w:firstLine="600"/>
        <w:rPr>
          <w:rFonts w:ascii="仿宋_GB2312" w:hAnsi="仿宋_GB2312" w:cs="仿宋_GB2312"/>
          <w:color w:val="000000"/>
          <w:sz w:val="30"/>
          <w:szCs w:val="30"/>
        </w:rPr>
        <w:sectPr>
          <w:footerReference r:id="rId11" w:type="default"/>
          <w:pgSz w:w="11905" w:h="16838"/>
          <w:pgMar w:top="2098" w:right="1417" w:bottom="1587" w:left="1587" w:header="851" w:footer="1361" w:gutter="0"/>
          <w:paperSrc/>
          <w:pgNumType w:fmt="decimal"/>
          <w:cols w:space="720" w:num="1"/>
          <w:rtlGutter w:val="0"/>
          <w:docGrid w:type="lines" w:linePitch="312" w:charSpace="0"/>
        </w:sectPr>
      </w:pPr>
      <w:r>
        <w:rPr>
          <w:rFonts w:hint="eastAsia" w:ascii="仿宋_GB2312" w:hAnsi="仿宋_GB2312" w:cs="仿宋_GB2312"/>
          <w:color w:val="000000"/>
          <w:sz w:val="30"/>
          <w:szCs w:val="30"/>
        </w:rPr>
        <w:t>紧紧围绕“十四五”期间特色现代农业发展重点项目，尽早谋划，项目要做好与各级国土空间规划的衔接，落实生态保护红线、永久基本农田等国土空间相关管控要求，确保项目落地实施。把实施项目带动作为推动规划实施的重要手段，以规划带动项目建设，进一步集聚要素资源，增强特色现代农业发展后劲。创新农业项目招商引资机制，实行项目滚动发展，集中资金保障重点项目建设进度。探索项目资金管理和运行机制改革，创新运行机制，强化资金监管，保证农业项目资金的规范运行和项目建设的质量与效益，实施项目责任追究制度，责任到人，提升项目建设精细化、标准化管理水平。</w:t>
      </w:r>
    </w:p>
    <w:p>
      <w:pPr>
        <w:pStyle w:val="3"/>
        <w:spacing w:line="500" w:lineRule="exact"/>
        <w:jc w:val="both"/>
        <w:rPr>
          <w:rFonts w:hint="eastAsia" w:ascii="黑体" w:hAnsi="黑体" w:eastAsia="黑体" w:cs="黑体"/>
          <w:b w:val="0"/>
          <w:bCs/>
          <w:color w:val="000000"/>
          <w:sz w:val="32"/>
          <w:lang w:val="en-US" w:eastAsia="zh-CN"/>
        </w:rPr>
      </w:pPr>
      <w:bookmarkStart w:id="979" w:name="_Toc27815"/>
      <w:bookmarkStart w:id="980" w:name="_Toc2572"/>
      <w:bookmarkStart w:id="981" w:name="_Toc9233"/>
      <w:bookmarkStart w:id="982" w:name="_Toc31533"/>
      <w:bookmarkStart w:id="983" w:name="_Toc4606"/>
      <w:bookmarkStart w:id="984" w:name="_Toc7952"/>
      <w:bookmarkStart w:id="985" w:name="_Toc27170"/>
      <w:bookmarkStart w:id="986" w:name="_Toc20075"/>
      <w:r>
        <w:rPr>
          <w:rFonts w:hint="eastAsia" w:ascii="黑体" w:hAnsi="黑体" w:eastAsia="黑体" w:cs="黑体"/>
          <w:b w:val="0"/>
          <w:bCs/>
          <w:color w:val="000000"/>
          <w:sz w:val="32"/>
          <w:lang w:eastAsia="zh-CN"/>
        </w:rPr>
        <w:t>附件</w:t>
      </w:r>
      <w:r>
        <w:rPr>
          <w:rFonts w:hint="eastAsia" w:ascii="黑体" w:hAnsi="黑体" w:eastAsia="黑体" w:cs="黑体"/>
          <w:b w:val="0"/>
          <w:bCs/>
          <w:color w:val="000000"/>
          <w:sz w:val="32"/>
          <w:lang w:val="en-US" w:eastAsia="zh-CN"/>
        </w:rPr>
        <w:t>1</w:t>
      </w:r>
    </w:p>
    <w:p>
      <w:pPr>
        <w:pStyle w:val="3"/>
        <w:spacing w:line="500" w:lineRule="exact"/>
        <w:rPr>
          <w:rFonts w:hint="eastAsia" w:ascii="方正小标宋_GBK" w:hAnsi="方正小标宋_GBK" w:eastAsia="方正小标宋_GBK" w:cs="方正小标宋_GBK"/>
          <w:b w:val="0"/>
          <w:bCs/>
          <w:color w:val="000000"/>
          <w:sz w:val="32"/>
        </w:rPr>
      </w:pPr>
      <w:r>
        <w:rPr>
          <w:rFonts w:hint="eastAsia" w:ascii="方正小标宋_GBK" w:hAnsi="方正小标宋_GBK" w:eastAsia="方正小标宋_GBK" w:cs="方正小标宋_GBK"/>
          <w:b w:val="0"/>
          <w:bCs/>
          <w:color w:val="000000"/>
          <w:sz w:val="32"/>
        </w:rPr>
        <w:t>宁德市“十四五”农业领域重大工程项目规划表</w:t>
      </w:r>
      <w:bookmarkEnd w:id="979"/>
      <w:bookmarkEnd w:id="980"/>
      <w:bookmarkEnd w:id="981"/>
      <w:bookmarkEnd w:id="982"/>
      <w:bookmarkEnd w:id="983"/>
      <w:bookmarkEnd w:id="984"/>
      <w:bookmarkEnd w:id="985"/>
      <w:bookmarkEnd w:id="986"/>
    </w:p>
    <w:tbl>
      <w:tblPr>
        <w:tblStyle w:val="16"/>
        <w:tblW w:w="9356" w:type="dxa"/>
        <w:jc w:val="center"/>
        <w:tblLayout w:type="fixed"/>
        <w:tblCellMar>
          <w:top w:w="0" w:type="dxa"/>
          <w:left w:w="108" w:type="dxa"/>
          <w:bottom w:w="0" w:type="dxa"/>
          <w:right w:w="108" w:type="dxa"/>
        </w:tblCellMar>
      </w:tblPr>
      <w:tblGrid>
        <w:gridCol w:w="667"/>
        <w:gridCol w:w="866"/>
        <w:gridCol w:w="844"/>
        <w:gridCol w:w="3125"/>
        <w:gridCol w:w="1075"/>
        <w:gridCol w:w="810"/>
        <w:gridCol w:w="894"/>
        <w:gridCol w:w="1075"/>
      </w:tblGrid>
      <w:tr>
        <w:tblPrEx>
          <w:tblCellMar>
            <w:top w:w="0" w:type="dxa"/>
            <w:left w:w="108" w:type="dxa"/>
            <w:bottom w:w="0" w:type="dxa"/>
            <w:right w:w="108" w:type="dxa"/>
          </w:tblCellMar>
        </w:tblPrEx>
        <w:trPr>
          <w:trHeight w:val="988"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textAlignment w:val="center"/>
              <w:rPr>
                <w:rFonts w:ascii="黑体" w:hAnsi="宋体" w:eastAsia="黑体" w:cs="黑体"/>
                <w:color w:val="000000"/>
                <w:sz w:val="21"/>
                <w:szCs w:val="21"/>
              </w:rPr>
            </w:pPr>
            <w:r>
              <w:rPr>
                <w:rFonts w:hint="eastAsia" w:ascii="黑体" w:hAnsi="宋体" w:eastAsia="黑体" w:cs="黑体"/>
                <w:color w:val="000000"/>
                <w:kern w:val="0"/>
                <w:sz w:val="21"/>
                <w:szCs w:val="21"/>
              </w:rPr>
              <w:t>序号</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textAlignment w:val="center"/>
              <w:rPr>
                <w:rFonts w:ascii="黑体" w:hAnsi="宋体" w:eastAsia="黑体" w:cs="黑体"/>
                <w:color w:val="000000"/>
                <w:kern w:val="0"/>
                <w:sz w:val="21"/>
                <w:szCs w:val="21"/>
              </w:rPr>
            </w:pPr>
            <w:r>
              <w:rPr>
                <w:rFonts w:hint="eastAsia" w:ascii="黑体" w:hAnsi="宋体" w:eastAsia="黑体" w:cs="黑体"/>
                <w:color w:val="000000"/>
                <w:kern w:val="0"/>
                <w:sz w:val="21"/>
                <w:szCs w:val="21"/>
              </w:rPr>
              <w:t>项目</w:t>
            </w:r>
          </w:p>
          <w:p>
            <w:pPr>
              <w:spacing w:line="240" w:lineRule="auto"/>
              <w:ind w:firstLine="0" w:firstLineChars="0"/>
              <w:jc w:val="center"/>
              <w:textAlignment w:val="center"/>
              <w:rPr>
                <w:rFonts w:ascii="黑体" w:hAnsi="宋体" w:eastAsia="黑体" w:cs="黑体"/>
                <w:color w:val="000000"/>
                <w:sz w:val="21"/>
                <w:szCs w:val="21"/>
              </w:rPr>
            </w:pPr>
            <w:r>
              <w:rPr>
                <w:rFonts w:hint="eastAsia" w:ascii="黑体" w:hAnsi="宋体" w:eastAsia="黑体" w:cs="黑体"/>
                <w:color w:val="000000"/>
                <w:kern w:val="0"/>
                <w:sz w:val="21"/>
                <w:szCs w:val="21"/>
              </w:rPr>
              <w:t>名称</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textAlignment w:val="center"/>
              <w:rPr>
                <w:rFonts w:ascii="黑体" w:hAnsi="宋体" w:eastAsia="黑体" w:cs="黑体"/>
                <w:color w:val="000000"/>
                <w:sz w:val="21"/>
                <w:szCs w:val="21"/>
              </w:rPr>
            </w:pPr>
            <w:r>
              <w:rPr>
                <w:rFonts w:hint="eastAsia" w:ascii="黑体" w:hAnsi="宋体" w:eastAsia="黑体" w:cs="黑体"/>
                <w:color w:val="000000"/>
                <w:kern w:val="0"/>
                <w:sz w:val="21"/>
                <w:szCs w:val="21"/>
              </w:rPr>
              <w:t>建设地点</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textAlignment w:val="center"/>
              <w:rPr>
                <w:rFonts w:ascii="黑体" w:hAnsi="宋体" w:eastAsia="黑体" w:cs="黑体"/>
                <w:color w:val="000000"/>
                <w:sz w:val="21"/>
                <w:szCs w:val="21"/>
              </w:rPr>
            </w:pPr>
            <w:r>
              <w:rPr>
                <w:rFonts w:hint="eastAsia" w:ascii="黑体" w:hAnsi="宋体" w:eastAsia="黑体" w:cs="黑体"/>
                <w:color w:val="000000"/>
                <w:kern w:val="0"/>
                <w:sz w:val="21"/>
                <w:szCs w:val="21"/>
              </w:rPr>
              <w:t>主要建设内容及规模</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textAlignment w:val="center"/>
              <w:rPr>
                <w:rFonts w:ascii="黑体" w:hAnsi="宋体" w:eastAsia="黑体" w:cs="黑体"/>
                <w:color w:val="000000"/>
                <w:sz w:val="21"/>
                <w:szCs w:val="21"/>
              </w:rPr>
            </w:pPr>
            <w:r>
              <w:rPr>
                <w:rFonts w:hint="eastAsia" w:ascii="黑体" w:hAnsi="宋体" w:eastAsia="黑体" w:cs="黑体"/>
                <w:color w:val="000000"/>
                <w:kern w:val="0"/>
                <w:sz w:val="21"/>
                <w:szCs w:val="21"/>
              </w:rPr>
              <w:t>建设年限</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textAlignment w:val="center"/>
              <w:rPr>
                <w:rFonts w:hint="eastAsia" w:ascii="黑体" w:hAnsi="宋体" w:eastAsia="黑体" w:cs="黑体"/>
                <w:color w:val="000000"/>
                <w:kern w:val="0"/>
                <w:sz w:val="21"/>
                <w:szCs w:val="21"/>
              </w:rPr>
            </w:pPr>
            <w:r>
              <w:rPr>
                <w:rFonts w:hint="eastAsia" w:ascii="黑体" w:hAnsi="宋体" w:eastAsia="黑体" w:cs="黑体"/>
                <w:color w:val="000000"/>
                <w:kern w:val="0"/>
                <w:sz w:val="21"/>
                <w:szCs w:val="21"/>
              </w:rPr>
              <w:t>总投资</w:t>
            </w:r>
          </w:p>
          <w:p>
            <w:pPr>
              <w:spacing w:line="240" w:lineRule="auto"/>
              <w:ind w:firstLine="0" w:firstLineChars="0"/>
              <w:jc w:val="center"/>
              <w:textAlignment w:val="center"/>
              <w:rPr>
                <w:rFonts w:ascii="黑体" w:hAnsi="宋体" w:eastAsia="黑体" w:cs="黑体"/>
                <w:color w:val="000000"/>
                <w:sz w:val="21"/>
                <w:szCs w:val="21"/>
              </w:rPr>
            </w:pPr>
            <w:r>
              <w:rPr>
                <w:rFonts w:hint="eastAsia" w:ascii="黑体" w:hAnsi="宋体" w:eastAsia="黑体" w:cs="黑体"/>
                <w:color w:val="000000"/>
                <w:kern w:val="0"/>
                <w:sz w:val="21"/>
                <w:szCs w:val="21"/>
              </w:rPr>
              <w:t>（亿元）</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textAlignment w:val="center"/>
              <w:rPr>
                <w:rFonts w:ascii="黑体" w:hAnsi="宋体" w:eastAsia="黑体" w:cs="黑体"/>
                <w:color w:val="000000"/>
                <w:sz w:val="21"/>
                <w:szCs w:val="21"/>
              </w:rPr>
            </w:pPr>
            <w:r>
              <w:rPr>
                <w:rFonts w:hint="eastAsia" w:ascii="黑体" w:hAnsi="宋体" w:eastAsia="黑体" w:cs="黑体"/>
                <w:color w:val="000000"/>
                <w:kern w:val="0"/>
                <w:sz w:val="21"/>
                <w:szCs w:val="21"/>
              </w:rPr>
              <w:t>“十四五”期间投资（亿元）</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textAlignment w:val="center"/>
              <w:rPr>
                <w:rFonts w:ascii="黑体" w:hAnsi="宋体" w:eastAsia="黑体" w:cs="黑体"/>
                <w:color w:val="000000"/>
                <w:sz w:val="21"/>
                <w:szCs w:val="21"/>
              </w:rPr>
            </w:pPr>
            <w:r>
              <w:rPr>
                <w:rFonts w:hint="eastAsia" w:ascii="黑体" w:hAnsi="宋体" w:eastAsia="黑体" w:cs="黑体"/>
                <w:color w:val="000000"/>
                <w:kern w:val="0"/>
                <w:sz w:val="21"/>
                <w:szCs w:val="21"/>
              </w:rPr>
              <w:t>项目单位</w:t>
            </w:r>
          </w:p>
        </w:tc>
      </w:tr>
      <w:tr>
        <w:tblPrEx>
          <w:tblCellMar>
            <w:top w:w="0" w:type="dxa"/>
            <w:left w:w="108" w:type="dxa"/>
            <w:bottom w:w="0" w:type="dxa"/>
            <w:right w:w="108" w:type="dxa"/>
          </w:tblCellMar>
        </w:tblPrEx>
        <w:trPr>
          <w:trHeight w:val="421" w:hRule="atLeast"/>
          <w:jc w:val="center"/>
        </w:trPr>
        <w:tc>
          <w:tcPr>
            <w:tcW w:w="6577"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总计</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r>
      <w:tr>
        <w:tblPrEx>
          <w:tblCellMar>
            <w:top w:w="0" w:type="dxa"/>
            <w:left w:w="108" w:type="dxa"/>
            <w:bottom w:w="0" w:type="dxa"/>
            <w:right w:w="108" w:type="dxa"/>
          </w:tblCellMar>
        </w:tblPrEx>
        <w:trPr>
          <w:trHeight w:val="482" w:hRule="atLeast"/>
          <w:jc w:val="center"/>
        </w:trPr>
        <w:tc>
          <w:tcPr>
            <w:tcW w:w="6577"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rPr>
              <w:t>一、农业基础设施提升工程</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r>
      <w:tr>
        <w:tblPrEx>
          <w:tblCellMar>
            <w:top w:w="0" w:type="dxa"/>
            <w:left w:w="108" w:type="dxa"/>
            <w:bottom w:w="0" w:type="dxa"/>
            <w:right w:w="108" w:type="dxa"/>
          </w:tblCellMar>
        </w:tblPrEx>
        <w:trPr>
          <w:trHeight w:val="2549"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（一）</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高标准农田建设</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9县（市、区）</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通过各项工程建设内容的实施，促进农田集中连片，增加有效耕地面积，提升耕地质量，优化土地利用结构与布局，实现节约集约利用和规模效益；完善基础设施，改善农业生产条件，增强防灾减灾能力；加强农田生态建设和环境保护，发挥生产、生态、景观的综合功能；建立监测、评价和管护体系，实现农田持续高效利用。</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Style w:val="22"/>
                <w:rFonts w:hint="default" w:hAnsi="宋体"/>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r>
              <w:rPr>
                <w:rFonts w:ascii="仿宋_GB2312" w:hAnsi="宋体" w:cs="仿宋_GB2312"/>
                <w:color w:val="000000"/>
                <w:sz w:val="18"/>
                <w:szCs w:val="18"/>
              </w:rPr>
              <w:t>6</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r>
              <w:rPr>
                <w:rFonts w:ascii="仿宋_GB2312" w:hAnsi="宋体" w:cs="仿宋_GB2312"/>
                <w:color w:val="000000"/>
                <w:sz w:val="18"/>
                <w:szCs w:val="18"/>
              </w:rPr>
              <w:t>6</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各县（市、区）农业农村局、乡镇政府</w:t>
            </w:r>
          </w:p>
        </w:tc>
      </w:tr>
      <w:tr>
        <w:tblPrEx>
          <w:tblCellMar>
            <w:top w:w="0" w:type="dxa"/>
            <w:left w:w="108" w:type="dxa"/>
            <w:bottom w:w="0" w:type="dxa"/>
            <w:right w:w="108" w:type="dxa"/>
          </w:tblCellMar>
        </w:tblPrEx>
        <w:trPr>
          <w:trHeight w:val="2103"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（二）</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畜禽粪污资源化利用</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Style w:val="22"/>
                <w:rFonts w:hint="default" w:hAnsi="宋体"/>
                <w:sz w:val="18"/>
                <w:szCs w:val="18"/>
              </w:rPr>
              <w:t>有关项目县（市、区）</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支持畜禽粪污收集、贮存、处理、利用等环节的基础设施建设和设备购置，建设集中收集利用畜禽粪污及垫料生产有机肥的加工厂、沼液利用示范基地及畜禽粪污资源化利用信息化监管中心；购置智能水表、智能流量仪、液面仪、沼液车、智能化利用设备等。</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2020-2025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县（市、区）农业农村局</w:t>
            </w:r>
          </w:p>
        </w:tc>
      </w:tr>
      <w:tr>
        <w:tblPrEx>
          <w:tblCellMar>
            <w:top w:w="0" w:type="dxa"/>
            <w:left w:w="108" w:type="dxa"/>
            <w:bottom w:w="0" w:type="dxa"/>
            <w:right w:w="108" w:type="dxa"/>
          </w:tblCellMar>
        </w:tblPrEx>
        <w:trPr>
          <w:trHeight w:val="513"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（三）</w:t>
            </w:r>
          </w:p>
        </w:tc>
        <w:tc>
          <w:tcPr>
            <w:tcW w:w="5910" w:type="dxa"/>
            <w:gridSpan w:val="4"/>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农业设施装备</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r>
      <w:tr>
        <w:tblPrEx>
          <w:tblCellMar>
            <w:top w:w="0" w:type="dxa"/>
            <w:left w:w="108" w:type="dxa"/>
            <w:bottom w:w="0" w:type="dxa"/>
            <w:right w:w="108" w:type="dxa"/>
          </w:tblCellMar>
        </w:tblPrEx>
        <w:trPr>
          <w:trHeight w:val="1134"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1</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设施农业大棚</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各县（市、区）</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每年发展大棚等各类设施农业面积1万亩，其中各级财政补助的钢架温室大棚3000亩以上。</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3</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15</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有关项目县（市、区）</w:t>
            </w:r>
          </w:p>
        </w:tc>
      </w:tr>
      <w:tr>
        <w:tblPrEx>
          <w:tblCellMar>
            <w:top w:w="0" w:type="dxa"/>
            <w:left w:w="108" w:type="dxa"/>
            <w:bottom w:w="0" w:type="dxa"/>
            <w:right w:w="108" w:type="dxa"/>
          </w:tblCellMar>
        </w:tblPrEx>
        <w:trPr>
          <w:trHeight w:val="1492"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食用菌工厂化生产设施</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古田县</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扩建（新建）银耳、海鲜菇和绣球菌工厂化栽培厂。主要建设标准化养菌房、净化车间及冷藏车间；购置自动化装袋机、拌料机、高压灭柜等设备。</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0.5</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0.5</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食用菌工厂化生产经营主体</w:t>
            </w:r>
          </w:p>
        </w:tc>
      </w:tr>
      <w:tr>
        <w:tblPrEx>
          <w:tblCellMar>
            <w:top w:w="0" w:type="dxa"/>
            <w:left w:w="108" w:type="dxa"/>
            <w:bottom w:w="0" w:type="dxa"/>
            <w:right w:w="108" w:type="dxa"/>
          </w:tblCellMar>
        </w:tblPrEx>
        <w:trPr>
          <w:trHeight w:val="1451"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（四）</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农产品仓储保鲜冷藏设施建设</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各县（市、区）有关建设单位</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每年建设一批农产品仓储保鲜冷藏设施。</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0.6</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0.6</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有关建设单位</w:t>
            </w:r>
          </w:p>
        </w:tc>
      </w:tr>
      <w:tr>
        <w:tblPrEx>
          <w:tblCellMar>
            <w:top w:w="0" w:type="dxa"/>
            <w:left w:w="108" w:type="dxa"/>
            <w:bottom w:w="0" w:type="dxa"/>
            <w:right w:w="108" w:type="dxa"/>
          </w:tblCellMar>
        </w:tblPrEx>
        <w:trPr>
          <w:trHeight w:val="571" w:hRule="atLeast"/>
          <w:jc w:val="center"/>
        </w:trPr>
        <w:tc>
          <w:tcPr>
            <w:tcW w:w="6577"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rPr>
              <w:t>二、特色现代农业高质量发展工程</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r>
      <w:tr>
        <w:tblPrEx>
          <w:tblCellMar>
            <w:top w:w="0" w:type="dxa"/>
            <w:left w:w="108" w:type="dxa"/>
            <w:bottom w:w="0" w:type="dxa"/>
            <w:right w:w="108" w:type="dxa"/>
          </w:tblCellMar>
        </w:tblPrEx>
        <w:trPr>
          <w:trHeight w:val="1449"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（一）</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现代农业产业园</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相关县（市、区）</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在原有古田县国家级现代农业产业园的基础上，力争再培育1-3个国家级现代农业产业园。</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相关县（市、区）人民政府</w:t>
            </w:r>
          </w:p>
        </w:tc>
      </w:tr>
      <w:tr>
        <w:tblPrEx>
          <w:tblCellMar>
            <w:top w:w="0" w:type="dxa"/>
            <w:left w:w="108" w:type="dxa"/>
            <w:bottom w:w="0" w:type="dxa"/>
            <w:right w:w="108" w:type="dxa"/>
          </w:tblCellMar>
        </w:tblPrEx>
        <w:trPr>
          <w:trHeight w:val="1075"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（二）</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农业产业强镇</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相关乡镇</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拟建设5个农业产业强镇</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1.5</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1</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有关县（市、区）农业农村局及相关乡镇</w:t>
            </w:r>
          </w:p>
        </w:tc>
      </w:tr>
      <w:tr>
        <w:tblPrEx>
          <w:tblCellMar>
            <w:top w:w="0" w:type="dxa"/>
            <w:left w:w="108" w:type="dxa"/>
            <w:bottom w:w="0" w:type="dxa"/>
            <w:right w:w="108" w:type="dxa"/>
          </w:tblCellMar>
        </w:tblPrEx>
        <w:trPr>
          <w:trHeight w:val="1169"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（三）</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“一村一品”建设</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r>
              <w:rPr>
                <w:rFonts w:hint="eastAsia" w:ascii="仿宋_GB2312" w:hAnsi="宋体" w:cs="仿宋_GB2312"/>
                <w:color w:val="000000"/>
                <w:sz w:val="18"/>
                <w:szCs w:val="18"/>
              </w:rPr>
              <w:t>拟培育220个“一村一品”专业村，其中省级“一村一品”示范村75个。</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各县（市、区）农业农村局及相关乡镇</w:t>
            </w:r>
          </w:p>
        </w:tc>
      </w:tr>
      <w:tr>
        <w:tblPrEx>
          <w:tblCellMar>
            <w:top w:w="0" w:type="dxa"/>
            <w:left w:w="108" w:type="dxa"/>
            <w:bottom w:w="0" w:type="dxa"/>
            <w:right w:w="108" w:type="dxa"/>
          </w:tblCellMar>
        </w:tblPrEx>
        <w:trPr>
          <w:trHeight w:val="739"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（四）</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畜禽产业发展转型升级</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u w:val="single"/>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u w:val="singl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r>
      <w:tr>
        <w:tblPrEx>
          <w:tblCellMar>
            <w:top w:w="0" w:type="dxa"/>
            <w:left w:w="108" w:type="dxa"/>
            <w:bottom w:w="0" w:type="dxa"/>
            <w:right w:w="108" w:type="dxa"/>
          </w:tblCellMar>
        </w:tblPrEx>
        <w:trPr>
          <w:trHeight w:val="1324"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1</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生猪产业发展转型升级</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福鼎、霞浦、周宁、屏南</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新改扩建3个现代化生猪标准化养殖项目，重点建设现代化的养殖设施和生物安全系统，实现生猪产业转型升级，生猪养殖场实现标准化、智能化管理。</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u w:val="single"/>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u w:val="singl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县（市、区）农业农村局</w:t>
            </w:r>
          </w:p>
        </w:tc>
      </w:tr>
      <w:tr>
        <w:tblPrEx>
          <w:tblCellMar>
            <w:top w:w="0" w:type="dxa"/>
            <w:left w:w="108" w:type="dxa"/>
            <w:bottom w:w="0" w:type="dxa"/>
            <w:right w:w="108" w:type="dxa"/>
          </w:tblCellMar>
        </w:tblPrEx>
        <w:trPr>
          <w:trHeight w:val="1342"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禽蛋产业发展转型升级</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霞浦</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建立无公害蛋鸭饲养基地，采用先进笼养、环保技术及标准生态喂养规范进行蛋鸭生态循环养殖。饲养10万羽笼养蛋鸭规模，道路绿化700平方米。</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u w:val="single"/>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u w:val="singl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县（市、区）农业农村局</w:t>
            </w:r>
          </w:p>
        </w:tc>
      </w:tr>
      <w:tr>
        <w:tblPrEx>
          <w:tblCellMar>
            <w:top w:w="0" w:type="dxa"/>
            <w:left w:w="108" w:type="dxa"/>
            <w:bottom w:w="0" w:type="dxa"/>
            <w:right w:w="108" w:type="dxa"/>
          </w:tblCellMar>
        </w:tblPrEx>
        <w:trPr>
          <w:trHeight w:val="496" w:hRule="atLeast"/>
          <w:jc w:val="center"/>
        </w:trPr>
        <w:tc>
          <w:tcPr>
            <w:tcW w:w="6577"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rPr>
              <w:t>三、现代种业发展工程</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r>
      <w:tr>
        <w:tblPrEx>
          <w:tblCellMar>
            <w:top w:w="0" w:type="dxa"/>
            <w:left w:w="108" w:type="dxa"/>
            <w:bottom w:w="0" w:type="dxa"/>
            <w:right w:w="108" w:type="dxa"/>
          </w:tblCellMar>
        </w:tblPrEx>
        <w:trPr>
          <w:trHeight w:val="766"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（一）</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sz w:val="18"/>
                <w:szCs w:val="18"/>
              </w:rPr>
              <w:t>推进渔业良种化</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p>
        </w:tc>
      </w:tr>
      <w:tr>
        <w:tblPrEx>
          <w:tblCellMar>
            <w:top w:w="0" w:type="dxa"/>
            <w:left w:w="108" w:type="dxa"/>
            <w:bottom w:w="0" w:type="dxa"/>
            <w:right w:w="108" w:type="dxa"/>
          </w:tblCellMar>
        </w:tblPrEx>
        <w:trPr>
          <w:trHeight w:val="4133"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1</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名贵海水鱼条石鲷繁养关键技术优化提升与集成示范</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宁德市蕉城区三都镇秋竹村里鱼塘</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left"/>
              <w:rPr>
                <w:rFonts w:ascii="仿宋_GB2312" w:hAnsi="仿宋_GB2312" w:cs="仿宋_GB2312"/>
                <w:sz w:val="18"/>
                <w:szCs w:val="18"/>
              </w:rPr>
            </w:pPr>
            <w:r>
              <w:rPr>
                <w:rFonts w:hint="eastAsia" w:ascii="仿宋_GB2312" w:hAnsi="仿宋_GB2312" w:cs="仿宋_GB2312"/>
                <w:sz w:val="18"/>
                <w:szCs w:val="18"/>
              </w:rPr>
              <w:t xml:space="preserve">  条石鲷是一种具有高经济价值和观赏价值的海水鱼类，在日韩作为与三文鱼同级的顶级生鱼片食材，市场售价可达300-600元/kg。</w:t>
            </w:r>
          </w:p>
          <w:p>
            <w:pPr>
              <w:snapToGrid w:val="0"/>
              <w:spacing w:line="240" w:lineRule="auto"/>
              <w:ind w:firstLine="0" w:firstLineChars="0"/>
              <w:jc w:val="left"/>
              <w:rPr>
                <w:rFonts w:ascii="仿宋_GB2312" w:hAnsi="仿宋_GB2312" w:cs="仿宋_GB2312"/>
                <w:sz w:val="18"/>
                <w:szCs w:val="18"/>
              </w:rPr>
            </w:pPr>
            <w:r>
              <w:rPr>
                <w:rFonts w:hint="eastAsia" w:ascii="仿宋_GB2312" w:hAnsi="仿宋_GB2312" w:cs="仿宋_GB2312"/>
                <w:sz w:val="18"/>
                <w:szCs w:val="18"/>
              </w:rPr>
              <w:t xml:space="preserve">  本项目通过持续进行条石鲷苗种繁育和养殖技术创新，形成标准化生产操作规程；利用自主养成的条石鲷建立条石鲷种质库，利用群体选育结合基因组辅助选育技术手段，针对条石鲷生长速度和体厚性状进行持续选育，以选育出生长迅速、肉质肥厚的条石鲷新品系，同时，做好条石鲷良种繁育和示范养殖与推广，为养殖产业提供优良苗种100万尾以上，以推进这种名特优养殖对象健康和可持续发展。</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rPr>
                <w:rFonts w:ascii="仿宋_GB2312" w:hAnsi="仿宋_GB2312" w:cs="仿宋_GB2312"/>
                <w:sz w:val="18"/>
                <w:szCs w:val="18"/>
              </w:rPr>
            </w:pPr>
            <w:r>
              <w:rPr>
                <w:rFonts w:hint="eastAsia" w:ascii="仿宋_GB2312" w:hAnsi="仿宋_GB2312" w:cs="仿宋_GB2312"/>
                <w:sz w:val="18"/>
                <w:szCs w:val="18"/>
              </w:rPr>
              <w:t>2012-2025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0.05</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0.03</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宁德市富发水产有限公司</w:t>
            </w:r>
          </w:p>
        </w:tc>
      </w:tr>
      <w:tr>
        <w:tblPrEx>
          <w:tblCellMar>
            <w:top w:w="0" w:type="dxa"/>
            <w:left w:w="108" w:type="dxa"/>
            <w:bottom w:w="0" w:type="dxa"/>
            <w:right w:w="108" w:type="dxa"/>
          </w:tblCellMar>
        </w:tblPrEx>
        <w:trPr>
          <w:trHeight w:val="5910"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2</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sz w:val="18"/>
                <w:szCs w:val="18"/>
              </w:rPr>
            </w:pPr>
          </w:p>
          <w:p>
            <w:pPr>
              <w:snapToGrid w:val="0"/>
              <w:spacing w:line="240" w:lineRule="auto"/>
              <w:ind w:firstLine="0" w:firstLineChars="0"/>
              <w:jc w:val="center"/>
              <w:rPr>
                <w:rFonts w:ascii="仿宋_GB2312" w:hAnsi="仿宋_GB2312" w:cs="仿宋_GB2312"/>
                <w:sz w:val="18"/>
                <w:szCs w:val="18"/>
              </w:rPr>
            </w:pPr>
            <w:r>
              <w:rPr>
                <w:rFonts w:hint="eastAsia"/>
                <w:sz w:val="18"/>
                <w:szCs w:val="18"/>
              </w:rPr>
              <w:t>基于基因组选育技术的大黄鱼体型选育系</w:t>
            </w:r>
            <w:r>
              <w:rPr>
                <w:rFonts w:hint="eastAsia" w:ascii="仿宋_GB2312" w:hAnsi="仿宋_GB2312" w:cs="仿宋_GB2312"/>
                <w:sz w:val="18"/>
                <w:szCs w:val="18"/>
              </w:rPr>
              <w:t>、抗病抗逆</w:t>
            </w:r>
            <w:r>
              <w:rPr>
                <w:rFonts w:hint="eastAsia"/>
                <w:sz w:val="18"/>
                <w:szCs w:val="18"/>
              </w:rPr>
              <w:t>等优良品系选育研究</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p>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宁德市蕉城区三都镇秋竹村里鱼塘</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left"/>
              <w:rPr>
                <w:rFonts w:ascii="仿宋_GB2312" w:hAnsi="仿宋_GB2312" w:cs="仿宋_GB2312"/>
                <w:sz w:val="18"/>
                <w:szCs w:val="18"/>
              </w:rPr>
            </w:pPr>
            <w:r>
              <w:rPr>
                <w:rFonts w:hint="eastAsia" w:ascii="仿宋_GB2312" w:hAnsi="仿宋_GB2312" w:cs="仿宋_GB2312"/>
                <w:sz w:val="18"/>
                <w:szCs w:val="18"/>
              </w:rPr>
              <w:t xml:space="preserve">  利用传统形态测量结合几何形态计量等方法，精准测评野生大黄鱼和养殖大黄鱼体型特征，建立大黄鱼体型测量标准；利用标准化体型测量指标，在现有大黄鱼养殖群体和速生选育系基础上，遴选具有修长体型的大黄鱼亲鱼，制备大黄鱼体型选育基础群体，开展累代的大黄鱼体型选育；构建养殖大黄鱼选育家系，精确测量F1代个体体型参数，通过基因组尺度的QTL和GWAS解析，识别大黄鱼体型相关性状的遗传座位和等位基因，解析其对于体型形状的调控机制；开发体型关联标记，结合大黄鱼速生品系的遗传选育进展和体型性状的累代选育，培育生长迅速体型优良的大黄鱼新品系。</w:t>
            </w:r>
          </w:p>
          <w:p>
            <w:pPr>
              <w:snapToGrid w:val="0"/>
              <w:spacing w:line="240" w:lineRule="auto"/>
              <w:ind w:firstLine="360"/>
              <w:jc w:val="left"/>
              <w:rPr>
                <w:rFonts w:ascii="仿宋_GB2312" w:hAnsi="仿宋_GB2312" w:cs="仿宋_GB2312"/>
                <w:sz w:val="18"/>
                <w:szCs w:val="18"/>
              </w:rPr>
            </w:pPr>
            <w:r>
              <w:rPr>
                <w:rFonts w:hint="eastAsia" w:ascii="仿宋_GB2312" w:hAnsi="仿宋_GB2312" w:cs="仿宋_GB2312"/>
                <w:sz w:val="18"/>
                <w:szCs w:val="18"/>
              </w:rPr>
              <w:t>开展大黄鱼对几种主要病害和耐高温的抗性评价和抗性个体遴选，构建核心种质群，繁育F1代抗病抗逆群体；用基因组重测序手段和全基因组关联分析方法解析抗性性状基因组，开发分子标记，开展抗病大黄鱼种质创新与新品系选育。</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p>
          <w:p>
            <w:pPr>
              <w:snapToGrid w:val="0"/>
              <w:spacing w:line="240" w:lineRule="auto"/>
              <w:ind w:firstLine="0" w:firstLineChars="0"/>
              <w:jc w:val="left"/>
              <w:rPr>
                <w:rFonts w:ascii="仿宋_GB2312" w:hAnsi="仿宋_GB2312" w:cs="仿宋_GB2312"/>
                <w:sz w:val="18"/>
                <w:szCs w:val="18"/>
              </w:rPr>
            </w:pPr>
            <w:r>
              <w:rPr>
                <w:rFonts w:hint="eastAsia" w:ascii="仿宋_GB2312" w:hAnsi="仿宋_GB2312" w:cs="仿宋_GB2312"/>
                <w:sz w:val="18"/>
                <w:szCs w:val="18"/>
              </w:rPr>
              <w:t>2021-2030</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p>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0.2</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p>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0.12</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p>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宁德市富发水产有限公司</w:t>
            </w:r>
          </w:p>
        </w:tc>
      </w:tr>
      <w:tr>
        <w:tblPrEx>
          <w:tblCellMar>
            <w:top w:w="0" w:type="dxa"/>
            <w:left w:w="108" w:type="dxa"/>
            <w:bottom w:w="0" w:type="dxa"/>
            <w:right w:w="108" w:type="dxa"/>
          </w:tblCellMar>
        </w:tblPrEx>
        <w:trPr>
          <w:trHeight w:val="2604"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3</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sz w:val="18"/>
                <w:szCs w:val="18"/>
              </w:rPr>
            </w:pPr>
            <w:r>
              <w:rPr>
                <w:rFonts w:hint="eastAsia"/>
                <w:sz w:val="18"/>
                <w:szCs w:val="18"/>
              </w:rPr>
              <w:t>大黄鱼种业安全保障体系建设</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宁德市蕉城区三都镇秋竹村里鱼塘</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left"/>
              <w:rPr>
                <w:rFonts w:ascii="仿宋_GB2312" w:hAnsi="仿宋_GB2312" w:cs="仿宋_GB2312"/>
                <w:sz w:val="18"/>
                <w:szCs w:val="18"/>
              </w:rPr>
            </w:pPr>
            <w:r>
              <w:rPr>
                <w:rFonts w:hint="eastAsia" w:ascii="仿宋_GB2312" w:hAnsi="仿宋_GB2312" w:cs="仿宋_GB2312"/>
                <w:sz w:val="18"/>
                <w:szCs w:val="18"/>
              </w:rPr>
              <w:t>整合企业和科研院所的育种技术、环境改良技术、营养调控技术、病害监测技术和免疫防控技术，培育大黄鱼SPF苗种1亿尾以上，建立大黄鱼苗种质量安全保障体系。以微囊饵料替代易携病原的生物饵料；通过环境改良技术避免寄生虫对苗种的侵染；通过幼鱼的黏膜免疫，提高养成阶段的抗病力；率先建立大黄鱼种业安全保障体系。</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p>
          <w:p>
            <w:pPr>
              <w:snapToGrid w:val="0"/>
              <w:spacing w:line="240" w:lineRule="auto"/>
              <w:ind w:firstLine="0" w:firstLineChars="0"/>
              <w:jc w:val="center"/>
              <w:rPr>
                <w:rFonts w:ascii="仿宋_GB2312" w:hAnsi="仿宋_GB2312" w:cs="仿宋_GB2312"/>
                <w:sz w:val="18"/>
                <w:szCs w:val="18"/>
              </w:rPr>
            </w:pPr>
          </w:p>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2021-2030</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p>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0.04</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p>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0.02</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40" w:lineRule="auto"/>
              <w:ind w:firstLine="0" w:firstLineChars="0"/>
              <w:jc w:val="center"/>
              <w:rPr>
                <w:rFonts w:ascii="仿宋_GB2312" w:hAnsi="仿宋_GB2312" w:cs="仿宋_GB2312"/>
                <w:sz w:val="18"/>
                <w:szCs w:val="18"/>
              </w:rPr>
            </w:pPr>
          </w:p>
          <w:p>
            <w:pPr>
              <w:snapToGrid w:val="0"/>
              <w:spacing w:line="240" w:lineRule="auto"/>
              <w:ind w:firstLine="0" w:firstLineChars="0"/>
              <w:jc w:val="center"/>
              <w:rPr>
                <w:rFonts w:ascii="仿宋_GB2312" w:hAnsi="仿宋_GB2312" w:cs="仿宋_GB2312"/>
                <w:sz w:val="18"/>
                <w:szCs w:val="18"/>
              </w:rPr>
            </w:pPr>
            <w:r>
              <w:rPr>
                <w:rFonts w:hint="eastAsia" w:ascii="仿宋_GB2312" w:hAnsi="仿宋_GB2312" w:cs="仿宋_GB2312"/>
                <w:sz w:val="18"/>
                <w:szCs w:val="18"/>
              </w:rPr>
              <w:t>宁德市富发水产有限公司</w:t>
            </w:r>
          </w:p>
        </w:tc>
      </w:tr>
      <w:tr>
        <w:tblPrEx>
          <w:tblCellMar>
            <w:top w:w="0" w:type="dxa"/>
            <w:left w:w="108" w:type="dxa"/>
            <w:bottom w:w="0" w:type="dxa"/>
            <w:right w:w="108" w:type="dxa"/>
          </w:tblCellMar>
        </w:tblPrEx>
        <w:trPr>
          <w:trHeight w:val="496" w:hRule="atLeast"/>
          <w:jc w:val="center"/>
        </w:trPr>
        <w:tc>
          <w:tcPr>
            <w:tcW w:w="6577"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rPr>
              <w:t>四、数字农业工程</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r>
      <w:tr>
        <w:tblPrEx>
          <w:tblCellMar>
            <w:top w:w="0" w:type="dxa"/>
            <w:left w:w="108" w:type="dxa"/>
            <w:bottom w:w="0" w:type="dxa"/>
            <w:right w:w="108" w:type="dxa"/>
          </w:tblCellMar>
        </w:tblPrEx>
        <w:trPr>
          <w:trHeight w:val="683"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（一）</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农业生产智能化</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有关项目县</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每年建设省级现代农业智慧园2个。</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0.2</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0.2</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有关项目县企业等</w:t>
            </w:r>
          </w:p>
        </w:tc>
      </w:tr>
      <w:tr>
        <w:tblPrEx>
          <w:tblCellMar>
            <w:top w:w="0" w:type="dxa"/>
            <w:left w:w="108" w:type="dxa"/>
            <w:bottom w:w="0" w:type="dxa"/>
            <w:right w:w="108" w:type="dxa"/>
          </w:tblCellMar>
        </w:tblPrEx>
        <w:trPr>
          <w:trHeight w:val="795"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（二）</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农业物联网提升</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有关项目县</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每年建设农业物联网应用基地10个。</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sz w:val="18"/>
                <w:szCs w:val="18"/>
              </w:rPr>
            </w:pPr>
            <w:r>
              <w:rPr>
                <w:rFonts w:hint="eastAsia" w:ascii="仿宋_GB2312" w:hAnsi="宋体" w:cs="仿宋_GB2312"/>
                <w:color w:val="000000"/>
                <w:kern w:val="0"/>
                <w:sz w:val="18"/>
                <w:szCs w:val="18"/>
              </w:rPr>
              <w:t>0.5</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0.5</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有关项目县企业等</w:t>
            </w:r>
          </w:p>
        </w:tc>
      </w:tr>
      <w:tr>
        <w:tblPrEx>
          <w:tblCellMar>
            <w:top w:w="0" w:type="dxa"/>
            <w:left w:w="108" w:type="dxa"/>
            <w:bottom w:w="0" w:type="dxa"/>
            <w:right w:w="108" w:type="dxa"/>
          </w:tblCellMar>
        </w:tblPrEx>
        <w:trPr>
          <w:trHeight w:val="2555"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（三）</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福安市数字农业试点县项目</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改造数字茶园指挥控制中心260.8平方米，改造建筑面积合计348.8平方米。新建茶业大数据平台系统、新建茶叶质量安全管理追溯系统、新建电商销售平台、改造建设智慧数字茶园、包括天空地一体化茶园智能感知系统、茶园智能分析与决策系统、茶园智能管理和精准控制系统、包括太空育种航天搭载、业务支撑和服务平台。</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ascii="仿宋_GB2312" w:hAnsi="宋体" w:cs="仿宋_GB2312"/>
                <w:color w:val="000000"/>
                <w:kern w:val="0"/>
                <w:sz w:val="18"/>
                <w:szCs w:val="18"/>
              </w:rPr>
              <w:t>2020-2021</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0.34</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福安市</w:t>
            </w:r>
            <w:r>
              <w:rPr>
                <w:rFonts w:hint="eastAsia" w:ascii="仿宋_GB2312" w:hAnsi="宋体" w:cs="仿宋_GB2312"/>
                <w:color w:val="000000"/>
                <w:kern w:val="0"/>
                <w:sz w:val="18"/>
                <w:szCs w:val="18"/>
                <w:lang w:eastAsia="zh-CN"/>
              </w:rPr>
              <w:t>人民</w:t>
            </w:r>
            <w:r>
              <w:rPr>
                <w:rFonts w:hint="eastAsia" w:ascii="仿宋_GB2312" w:hAnsi="宋体" w:cs="仿宋_GB2312"/>
                <w:color w:val="000000"/>
                <w:kern w:val="0"/>
                <w:sz w:val="18"/>
                <w:szCs w:val="18"/>
              </w:rPr>
              <w:t>政府</w:t>
            </w:r>
          </w:p>
        </w:tc>
      </w:tr>
      <w:tr>
        <w:tblPrEx>
          <w:tblCellMar>
            <w:top w:w="0" w:type="dxa"/>
            <w:left w:w="108" w:type="dxa"/>
            <w:bottom w:w="0" w:type="dxa"/>
            <w:right w:w="108" w:type="dxa"/>
          </w:tblCellMar>
        </w:tblPrEx>
        <w:trPr>
          <w:trHeight w:val="2570"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（四）</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福安农垦茶业生态数字化（智慧）茶园示范项目</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建设集复合生态茶园、水肥一体化智能管灌茶园、茶园主要病虫害远程监测诊断预警技术茶园面积3800亩；同时，在茶山建立智能可视化系统，对园区实现生产及环境的可视化管理。2022年项目建成达产后，茶园整体灌溉用水效率提高到65%，总体改善土壤健康状况，使土壤内有机质的含量增加到2% ，杀虫剂的使用量减少5%，每亩茶园年可增收 1380 元。</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ascii="仿宋_GB2312" w:hAnsi="宋体" w:cs="仿宋_GB2312"/>
                <w:color w:val="000000"/>
                <w:kern w:val="0"/>
                <w:sz w:val="18"/>
                <w:szCs w:val="18"/>
              </w:rPr>
              <w:t>202</w:t>
            </w:r>
            <w:r>
              <w:rPr>
                <w:rFonts w:hint="eastAsia" w:ascii="仿宋_GB2312" w:hAnsi="宋体" w:cs="仿宋_GB2312"/>
                <w:color w:val="000000"/>
                <w:kern w:val="0"/>
                <w:sz w:val="18"/>
                <w:szCs w:val="18"/>
              </w:rPr>
              <w:t>1</w:t>
            </w:r>
            <w:r>
              <w:rPr>
                <w:rFonts w:ascii="仿宋_GB2312" w:hAnsi="宋体" w:cs="仿宋_GB2312"/>
                <w:color w:val="000000"/>
                <w:kern w:val="0"/>
                <w:sz w:val="18"/>
                <w:szCs w:val="18"/>
              </w:rPr>
              <w:t>-202</w:t>
            </w:r>
            <w:r>
              <w:rPr>
                <w:rFonts w:hint="eastAsia" w:ascii="仿宋_GB2312" w:hAnsi="宋体" w:cs="仿宋_GB2312"/>
                <w:color w:val="000000"/>
                <w:kern w:val="0"/>
                <w:sz w:val="18"/>
                <w:szCs w:val="18"/>
              </w:rPr>
              <w:t>2</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0.84</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0.84</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textAlignment w:val="center"/>
              <w:rPr>
                <w:rFonts w:ascii="仿宋_GB2312" w:hAnsi="宋体" w:cs="仿宋_GB2312"/>
                <w:color w:val="000000"/>
                <w:kern w:val="0"/>
                <w:sz w:val="18"/>
                <w:szCs w:val="18"/>
              </w:rPr>
            </w:pPr>
            <w:r>
              <w:rPr>
                <w:rFonts w:hint="eastAsia" w:ascii="仿宋_GB2312" w:hAnsi="宋体" w:cs="仿宋_GB2312"/>
                <w:color w:val="000000"/>
                <w:kern w:val="0"/>
                <w:sz w:val="18"/>
                <w:szCs w:val="18"/>
              </w:rPr>
              <w:t>福建农垦茶业有限公司（福安）</w:t>
            </w:r>
          </w:p>
        </w:tc>
      </w:tr>
      <w:tr>
        <w:tblPrEx>
          <w:tblCellMar>
            <w:top w:w="0" w:type="dxa"/>
            <w:left w:w="108" w:type="dxa"/>
            <w:bottom w:w="0" w:type="dxa"/>
            <w:right w:w="108" w:type="dxa"/>
          </w:tblCellMar>
        </w:tblPrEx>
        <w:trPr>
          <w:trHeight w:val="534" w:hRule="atLeast"/>
          <w:jc w:val="center"/>
        </w:trPr>
        <w:tc>
          <w:tcPr>
            <w:tcW w:w="6577"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rPr>
              <w:t>五、农业绿色发展工程</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r>
      <w:tr>
        <w:tblPrEx>
          <w:tblCellMar>
            <w:top w:w="0" w:type="dxa"/>
            <w:left w:w="108" w:type="dxa"/>
            <w:bottom w:w="0" w:type="dxa"/>
            <w:right w:w="108" w:type="dxa"/>
          </w:tblCellMar>
        </w:tblPrEx>
        <w:trPr>
          <w:trHeight w:val="1724"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（一）</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Fonts w:hint="eastAsia" w:ascii="仿宋_GB2312" w:hAnsi="仿宋_GB2312" w:cs="仿宋_GB2312"/>
                <w:color w:val="000000"/>
                <w:kern w:val="0"/>
                <w:sz w:val="18"/>
                <w:szCs w:val="18"/>
              </w:rPr>
              <w:t>动物疫病预防控制能力建设</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Fonts w:hint="eastAsia" w:ascii="仿宋_GB2312" w:hAnsi="仿宋_GB2312" w:cs="仿宋_GB2312"/>
                <w:color w:val="000000"/>
                <w:kern w:val="0"/>
                <w:sz w:val="18"/>
                <w:szCs w:val="18"/>
              </w:rPr>
              <w:t>蕉城区、古田县、周宁县、福安市、柘荣县、福鼎市</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Fonts w:hint="eastAsia" w:ascii="仿宋_GB2312" w:hAnsi="仿宋_GB2312" w:cs="仿宋_GB2312"/>
                <w:color w:val="000000"/>
                <w:kern w:val="0"/>
                <w:sz w:val="18"/>
                <w:szCs w:val="18"/>
              </w:rPr>
              <w:t>在蕉城区、古田县、周宁县、福安市、柘荣县、福鼎市等6个县（市、区）改扩建县级动物防疫应急物资储备库各1个。</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Fonts w:hint="eastAsia" w:ascii="仿宋_GB2312" w:hAnsi="仿宋_GB2312" w:cs="仿宋_GB2312"/>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Fonts w:hint="eastAsia" w:ascii="仿宋_GB2312" w:hAnsi="仿宋_GB2312" w:cs="仿宋_GB2312"/>
                <w:color w:val="000000"/>
                <w:kern w:val="0"/>
                <w:sz w:val="18"/>
                <w:szCs w:val="18"/>
              </w:rPr>
              <w:t>0.0105</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Fonts w:hint="eastAsia" w:ascii="仿宋_GB2312" w:hAnsi="仿宋_GB2312" w:cs="仿宋_GB2312"/>
                <w:color w:val="000000"/>
                <w:kern w:val="0"/>
                <w:sz w:val="18"/>
                <w:szCs w:val="18"/>
              </w:rPr>
              <w:t>0.0105</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Fonts w:hint="eastAsia" w:ascii="仿宋_GB2312" w:hAnsi="仿宋_GB2312" w:cs="仿宋_GB2312"/>
                <w:color w:val="000000"/>
                <w:spacing w:val="-6"/>
                <w:kern w:val="0"/>
                <w:sz w:val="18"/>
                <w:szCs w:val="18"/>
              </w:rPr>
              <w:t>市动物疫病预防控制中心及相关县（市、区）农业农村局</w:t>
            </w:r>
          </w:p>
        </w:tc>
      </w:tr>
      <w:tr>
        <w:tblPrEx>
          <w:tblCellMar>
            <w:top w:w="0" w:type="dxa"/>
            <w:left w:w="108" w:type="dxa"/>
            <w:bottom w:w="0" w:type="dxa"/>
            <w:right w:w="108" w:type="dxa"/>
          </w:tblCellMar>
        </w:tblPrEx>
        <w:trPr>
          <w:trHeight w:val="896"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（二）</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Fonts w:hint="eastAsia" w:ascii="仿宋_GB2312" w:hAnsi="仿宋_GB2312" w:cs="仿宋_GB2312"/>
                <w:color w:val="000000"/>
                <w:kern w:val="0"/>
                <w:sz w:val="18"/>
                <w:szCs w:val="18"/>
              </w:rPr>
              <w:t>绿色防控</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Style w:val="23"/>
                <w:rFonts w:hint="default" w:ascii="仿宋_GB2312" w:hAnsi="仿宋_GB2312" w:eastAsia="仿宋_GB2312" w:cs="仿宋_GB2312"/>
                <w:color w:val="000000"/>
                <w:sz w:val="18"/>
                <w:szCs w:val="18"/>
              </w:rPr>
              <w:t>1.</w:t>
            </w:r>
            <w:r>
              <w:rPr>
                <w:rStyle w:val="24"/>
                <w:rFonts w:hint="default" w:ascii="仿宋_GB2312" w:hAnsi="仿宋_GB2312" w:eastAsia="仿宋_GB2312" w:cs="仿宋_GB2312"/>
                <w:color w:val="000000"/>
                <w:sz w:val="18"/>
                <w:szCs w:val="18"/>
              </w:rPr>
              <w:t xml:space="preserve">福安市重大病虫疫情区域应急防控设施及应急物资储备库项目   </w:t>
            </w:r>
            <w:r>
              <w:rPr>
                <w:rStyle w:val="23"/>
                <w:rFonts w:hint="default" w:ascii="仿宋_GB2312" w:hAnsi="仿宋_GB2312" w:eastAsia="仿宋_GB2312" w:cs="仿宋_GB2312"/>
                <w:color w:val="000000"/>
                <w:sz w:val="18"/>
                <w:szCs w:val="18"/>
              </w:rPr>
              <w:t>2.</w:t>
            </w:r>
            <w:r>
              <w:rPr>
                <w:rStyle w:val="24"/>
                <w:rFonts w:hint="default" w:ascii="仿宋_GB2312" w:hAnsi="仿宋_GB2312" w:eastAsia="仿宋_GB2312" w:cs="仿宋_GB2312"/>
                <w:color w:val="000000"/>
                <w:sz w:val="18"/>
                <w:szCs w:val="18"/>
              </w:rPr>
              <w:t>在蕉城、霞浦、福安、福鼎4个县（市、区）共建立40个农药使用调查监测点</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Style w:val="23"/>
                <w:rFonts w:hint="default" w:ascii="仿宋_GB2312" w:hAnsi="仿宋_GB2312" w:eastAsia="仿宋_GB2312" w:cs="仿宋_GB2312"/>
                <w:color w:val="000000"/>
                <w:sz w:val="18"/>
                <w:szCs w:val="18"/>
              </w:rPr>
              <w:t>1.</w:t>
            </w:r>
            <w:r>
              <w:rPr>
                <w:rStyle w:val="24"/>
                <w:rFonts w:hint="default" w:ascii="仿宋_GB2312" w:hAnsi="仿宋_GB2312" w:eastAsia="仿宋_GB2312" w:cs="仿宋_GB2312"/>
                <w:color w:val="000000"/>
                <w:sz w:val="18"/>
                <w:szCs w:val="18"/>
              </w:rPr>
              <w:t xml:space="preserve">计划建设物质储备库改造3143平方米；道路改造5152平方米，排水沟700米，护岸100米，供电设施1套，购买大型喷雾机48台，动力系统等配套设备12个，实验室仪器设备12台   </w:t>
            </w:r>
            <w:r>
              <w:rPr>
                <w:rStyle w:val="23"/>
                <w:rFonts w:hint="default" w:ascii="仿宋_GB2312" w:hAnsi="仿宋_GB2312" w:eastAsia="仿宋_GB2312" w:cs="仿宋_GB2312"/>
                <w:color w:val="000000"/>
                <w:sz w:val="18"/>
                <w:szCs w:val="18"/>
              </w:rPr>
              <w:t>2.</w:t>
            </w:r>
            <w:r>
              <w:rPr>
                <w:rStyle w:val="24"/>
                <w:rFonts w:hint="default" w:ascii="仿宋_GB2312" w:hAnsi="仿宋_GB2312" w:eastAsia="仿宋_GB2312" w:cs="仿宋_GB2312"/>
                <w:color w:val="000000"/>
                <w:sz w:val="18"/>
                <w:szCs w:val="18"/>
              </w:rPr>
              <w:t>在蕉城、霞浦、福安、福鼎4个县（市、区）共建立40个农药使用调查监测点</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Fonts w:hint="eastAsia" w:ascii="仿宋_GB2312" w:hAnsi="仿宋_GB2312" w:cs="仿宋_GB2312"/>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Fonts w:hint="eastAsia" w:ascii="仿宋_GB2312" w:hAnsi="仿宋_GB2312" w:cs="仿宋_GB2312"/>
                <w:color w:val="000000"/>
                <w:kern w:val="0"/>
                <w:sz w:val="18"/>
                <w:szCs w:val="18"/>
              </w:rPr>
              <w:t>0.077</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Fonts w:hint="eastAsia" w:ascii="仿宋_GB2312" w:hAnsi="仿宋_GB2312" w:cs="仿宋_GB2312"/>
                <w:color w:val="000000"/>
                <w:kern w:val="0"/>
                <w:sz w:val="18"/>
                <w:szCs w:val="18"/>
              </w:rPr>
              <w:t>0.077</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仿宋_GB2312" w:cs="仿宋_GB2312"/>
                <w:color w:val="000000"/>
                <w:sz w:val="18"/>
                <w:szCs w:val="18"/>
              </w:rPr>
            </w:pPr>
            <w:r>
              <w:rPr>
                <w:rFonts w:hint="eastAsia" w:ascii="仿宋_GB2312" w:hAnsi="仿宋_GB2312" w:cs="仿宋_GB2312"/>
                <w:color w:val="000000"/>
                <w:kern w:val="0"/>
                <w:sz w:val="18"/>
                <w:szCs w:val="18"/>
              </w:rPr>
              <w:t>有关县（市、区）农业农村局和项目单位</w:t>
            </w:r>
          </w:p>
        </w:tc>
      </w:tr>
      <w:tr>
        <w:tblPrEx>
          <w:tblCellMar>
            <w:top w:w="0" w:type="dxa"/>
            <w:left w:w="108" w:type="dxa"/>
            <w:bottom w:w="0" w:type="dxa"/>
            <w:right w:w="108" w:type="dxa"/>
          </w:tblCellMar>
        </w:tblPrEx>
        <w:trPr>
          <w:trHeight w:val="2913"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（三）</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农产品质量安全检验检测提升</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市级农产品质量安全检验检测中心、各项目县（市、区）农业农村局、各涉农乡镇</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建设市县乡三级农产品质量安全检验检测中心（检测站），实验室改造及仪器设备购置等。</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hAnsi="宋体" w:cs="仿宋_GB2312"/>
                <w:color w:val="000000"/>
                <w:kern w:val="0"/>
                <w:sz w:val="18"/>
                <w:szCs w:val="18"/>
              </w:rPr>
              <w:t>市级农产品质量安全检验检测中心、各项目市、县（市、区）农业农村局、各涉农乡镇</w:t>
            </w:r>
          </w:p>
        </w:tc>
      </w:tr>
      <w:tr>
        <w:tblPrEx>
          <w:tblCellMar>
            <w:top w:w="0" w:type="dxa"/>
            <w:left w:w="108" w:type="dxa"/>
            <w:bottom w:w="0" w:type="dxa"/>
            <w:right w:w="108" w:type="dxa"/>
          </w:tblCellMar>
        </w:tblPrEx>
        <w:trPr>
          <w:trHeight w:val="572" w:hRule="atLeast"/>
          <w:jc w:val="center"/>
        </w:trPr>
        <w:tc>
          <w:tcPr>
            <w:tcW w:w="6577"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rPr>
              <w:t>六、海洋与渔业发展工程</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rPr>
                <w:rFonts w:ascii="仿宋_GB2312" w:hAnsi="宋体" w:cs="仿宋_GB2312"/>
                <w:color w:val="000000"/>
                <w:sz w:val="18"/>
                <w:szCs w:val="18"/>
              </w:rPr>
            </w:pPr>
          </w:p>
        </w:tc>
      </w:tr>
      <w:tr>
        <w:tblPrEx>
          <w:tblCellMar>
            <w:top w:w="0" w:type="dxa"/>
            <w:left w:w="108" w:type="dxa"/>
            <w:bottom w:w="0" w:type="dxa"/>
            <w:right w:w="108" w:type="dxa"/>
          </w:tblCellMar>
        </w:tblPrEx>
        <w:trPr>
          <w:trHeight w:val="1364"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cs="宋体"/>
                <w:color w:val="000000"/>
                <w:kern w:val="0"/>
                <w:sz w:val="18"/>
                <w:szCs w:val="18"/>
              </w:rPr>
              <w:t>1</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cs="宋体"/>
                <w:color w:val="000000"/>
                <w:kern w:val="0"/>
                <w:sz w:val="18"/>
                <w:szCs w:val="18"/>
              </w:rPr>
              <w:t>宁德市渔港建设项目</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cs="宋体"/>
                <w:color w:val="000000"/>
                <w:kern w:val="0"/>
                <w:sz w:val="18"/>
                <w:szCs w:val="18"/>
              </w:rPr>
              <w:t>宁德渔区</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cs="宋体"/>
                <w:color w:val="000000"/>
                <w:kern w:val="0"/>
                <w:sz w:val="18"/>
                <w:szCs w:val="18"/>
              </w:rPr>
              <w:t>建设83个渔港项目，提升沿海防灾减灾能力，促进区域内的产业融合发展。</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cs="宋体"/>
                <w:color w:val="000000"/>
                <w:kern w:val="0"/>
                <w:sz w:val="18"/>
                <w:szCs w:val="18"/>
              </w:rPr>
              <w:t>2021-2025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cs="宋体"/>
                <w:color w:val="000000"/>
                <w:kern w:val="0"/>
                <w:sz w:val="18"/>
                <w:szCs w:val="18"/>
              </w:rPr>
              <w:t>15</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cs="宋体"/>
                <w:color w:val="000000"/>
                <w:kern w:val="0"/>
                <w:sz w:val="18"/>
                <w:szCs w:val="18"/>
              </w:rPr>
              <w:t>15</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cs="宋体"/>
                <w:color w:val="000000"/>
                <w:kern w:val="0"/>
                <w:sz w:val="18"/>
                <w:szCs w:val="18"/>
              </w:rPr>
              <w:t>沿海各县（市、区）、古田及寿宁县人民政府</w:t>
            </w:r>
          </w:p>
        </w:tc>
      </w:tr>
      <w:tr>
        <w:tblPrEx>
          <w:tblCellMar>
            <w:top w:w="0" w:type="dxa"/>
            <w:left w:w="108" w:type="dxa"/>
            <w:bottom w:w="0" w:type="dxa"/>
            <w:right w:w="108" w:type="dxa"/>
          </w:tblCellMar>
        </w:tblPrEx>
        <w:trPr>
          <w:trHeight w:val="1892" w:hRule="atLeast"/>
          <w:jc w:val="center"/>
        </w:trPr>
        <w:tc>
          <w:tcPr>
            <w:tcW w:w="66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cs="宋体"/>
                <w:color w:val="000000"/>
                <w:kern w:val="0"/>
                <w:sz w:val="18"/>
                <w:szCs w:val="18"/>
              </w:rPr>
              <w:t>2</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cs="宋体"/>
                <w:color w:val="000000"/>
                <w:kern w:val="0"/>
                <w:sz w:val="18"/>
                <w:szCs w:val="18"/>
              </w:rPr>
              <w:t>闽江水口库区（古田段）养殖网箱升级改造项目</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cs="宋体"/>
                <w:color w:val="000000"/>
                <w:kern w:val="0"/>
                <w:sz w:val="18"/>
                <w:szCs w:val="18"/>
              </w:rPr>
              <w:t>古田县</w:t>
            </w:r>
          </w:p>
        </w:tc>
        <w:tc>
          <w:tcPr>
            <w:tcW w:w="312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cs="宋体"/>
                <w:color w:val="000000"/>
                <w:kern w:val="0"/>
                <w:sz w:val="18"/>
                <w:szCs w:val="18"/>
              </w:rPr>
              <w:t>完成20万平方米养殖网箱升级改造。</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cs="宋体"/>
                <w:color w:val="000000"/>
                <w:kern w:val="0"/>
                <w:sz w:val="18"/>
                <w:szCs w:val="18"/>
              </w:rPr>
              <w:t>2021-2022</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cs="宋体"/>
                <w:color w:val="000000"/>
                <w:kern w:val="0"/>
                <w:sz w:val="18"/>
                <w:szCs w:val="18"/>
              </w:rPr>
              <w:t xml:space="preserve"> 0.2</w:t>
            </w:r>
          </w:p>
        </w:tc>
        <w:tc>
          <w:tcPr>
            <w:tcW w:w="8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sz w:val="18"/>
                <w:szCs w:val="18"/>
              </w:rPr>
            </w:pPr>
            <w:r>
              <w:rPr>
                <w:rFonts w:hint="eastAsia" w:ascii="仿宋_GB2312" w:cs="宋体"/>
                <w:color w:val="000000"/>
                <w:kern w:val="0"/>
                <w:sz w:val="18"/>
                <w:szCs w:val="18"/>
              </w:rPr>
              <w:t>0.2</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left"/>
              <w:textAlignment w:val="center"/>
              <w:rPr>
                <w:rFonts w:ascii="仿宋_GB2312" w:hAnsi="宋体" w:cs="仿宋_GB2312"/>
                <w:color w:val="000000"/>
                <w:kern w:val="0"/>
                <w:sz w:val="18"/>
                <w:szCs w:val="18"/>
              </w:rPr>
            </w:pPr>
            <w:r>
              <w:rPr>
                <w:rFonts w:hint="eastAsia" w:ascii="仿宋_GB2312" w:cs="宋体"/>
                <w:color w:val="000000"/>
                <w:kern w:val="0"/>
                <w:sz w:val="18"/>
                <w:szCs w:val="18"/>
              </w:rPr>
              <w:t>古田县人民政府</w:t>
            </w:r>
          </w:p>
        </w:tc>
      </w:tr>
    </w:tbl>
    <w:p>
      <w:pPr>
        <w:pStyle w:val="3"/>
        <w:rPr>
          <w:color w:val="000000"/>
        </w:rPr>
        <w:sectPr>
          <w:pgSz w:w="11905" w:h="16838"/>
          <w:pgMar w:top="1701" w:right="1531" w:bottom="1587" w:left="1531" w:header="851" w:footer="992" w:gutter="0"/>
          <w:pgNumType w:fmt="decimal"/>
          <w:cols w:space="720" w:num="1"/>
          <w:docGrid w:type="lines" w:linePitch="312" w:charSpace="0"/>
        </w:sectPr>
      </w:pPr>
      <w:bookmarkStart w:id="987" w:name="_Toc18522"/>
      <w:bookmarkStart w:id="988" w:name="_Toc8527"/>
      <w:bookmarkStart w:id="989" w:name="_Toc16858"/>
      <w:bookmarkStart w:id="990" w:name="_Toc19666"/>
      <w:bookmarkStart w:id="991" w:name="_Toc27785"/>
      <w:bookmarkStart w:id="992" w:name="_Toc7265"/>
      <w:bookmarkStart w:id="993" w:name="_Toc19336"/>
    </w:p>
    <w:p>
      <w:pPr>
        <w:pStyle w:val="3"/>
        <w:spacing w:line="500" w:lineRule="exact"/>
        <w:jc w:val="both"/>
        <w:rPr>
          <w:color w:val="000000"/>
        </w:rPr>
      </w:pPr>
      <w:bookmarkStart w:id="994" w:name="_Toc12180"/>
      <w:r>
        <w:rPr>
          <w:rFonts w:hint="eastAsia" w:ascii="黑体" w:hAnsi="黑体" w:eastAsia="黑体" w:cs="黑体"/>
          <w:b w:val="0"/>
          <w:bCs/>
          <w:color w:val="000000"/>
          <w:kern w:val="2"/>
          <w:sz w:val="32"/>
          <w:shd w:val="clear" w:color="auto" w:fill="auto"/>
          <w:lang w:eastAsia="zh-CN"/>
        </w:rPr>
        <w:t>附件</w:t>
      </w:r>
      <w:r>
        <w:rPr>
          <w:rFonts w:hint="eastAsia" w:ascii="黑体" w:hAnsi="黑体" w:eastAsia="黑体" w:cs="黑体"/>
          <w:b w:val="0"/>
          <w:bCs/>
          <w:color w:val="000000"/>
          <w:kern w:val="2"/>
          <w:sz w:val="32"/>
          <w:shd w:val="clear" w:color="auto" w:fill="auto"/>
          <w:lang w:val="en-US" w:eastAsia="zh-CN"/>
        </w:rPr>
        <w:t>2</w:t>
      </w:r>
      <w:r>
        <w:rPr>
          <w:rFonts w:hint="eastAsia" w:cs="黑体"/>
          <w:b w:val="0"/>
          <w:bCs/>
          <w:color w:val="000000"/>
          <w:kern w:val="2"/>
          <w:sz w:val="32"/>
          <w:shd w:val="clear" w:color="auto" w:fill="auto"/>
          <w:lang w:val="en-US" w:eastAsia="zh-CN"/>
        </w:rPr>
        <w:t>　　　　　　　　　　　　　　　　　</w:t>
      </w:r>
      <w:r>
        <w:rPr>
          <w:rFonts w:hint="eastAsia" w:ascii="方正小标宋_GBK" w:hAnsi="方正小标宋_GBK" w:eastAsia="方正小标宋_GBK" w:cs="方正小标宋_GBK"/>
          <w:b w:val="0"/>
          <w:bCs/>
          <w:color w:val="000000"/>
          <w:kern w:val="2"/>
          <w:sz w:val="44"/>
          <w:szCs w:val="44"/>
          <w:shd w:val="clear" w:color="auto" w:fill="auto"/>
        </w:rPr>
        <w:t>规划相关图纸</w:t>
      </w:r>
      <w:bookmarkEnd w:id="987"/>
      <w:bookmarkEnd w:id="988"/>
      <w:bookmarkEnd w:id="989"/>
      <w:bookmarkEnd w:id="990"/>
      <w:bookmarkEnd w:id="991"/>
      <w:bookmarkEnd w:id="992"/>
      <w:bookmarkEnd w:id="993"/>
      <w:bookmarkEnd w:id="994"/>
    </w:p>
    <w:p>
      <w:pPr>
        <w:pStyle w:val="3"/>
        <w:spacing w:line="240" w:lineRule="auto"/>
        <w:jc w:val="center"/>
        <w:rPr>
          <w:color w:val="000000"/>
        </w:rPr>
      </w:pPr>
      <w:r>
        <w:rPr>
          <w:color w:val="000000"/>
        </w:rPr>
        <w:drawing>
          <wp:inline distT="0" distB="0" distL="114300" distR="114300">
            <wp:extent cx="8782050" cy="4763135"/>
            <wp:effectExtent l="0" t="0" r="0" b="18415"/>
            <wp:docPr id="12" name="图片 1" descr="D:\项目\2020\宁德十四五\宁德\现代农业产业园\宁德市现代农业产业园布局图1.jpg宁德市现代农业产业园布局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D:\项目\2020\宁德十四五\宁德\现代农业产业园\宁德市现代农业产业园布局图1.jpg宁德市现代农业产业园布局图1"/>
                    <pic:cNvPicPr>
                      <a:picLocks noChangeAspect="1"/>
                    </pic:cNvPicPr>
                  </pic:nvPicPr>
                  <pic:blipFill>
                    <a:blip r:embed="rId16"/>
                    <a:stretch>
                      <a:fillRect/>
                    </a:stretch>
                  </pic:blipFill>
                  <pic:spPr>
                    <a:xfrm>
                      <a:off x="0" y="0"/>
                      <a:ext cx="8782050" cy="4763135"/>
                    </a:xfrm>
                    <a:prstGeom prst="rect">
                      <a:avLst/>
                    </a:prstGeom>
                    <a:noFill/>
                    <a:ln>
                      <a:noFill/>
                    </a:ln>
                  </pic:spPr>
                </pic:pic>
              </a:graphicData>
            </a:graphic>
          </wp:inline>
        </w:drawing>
      </w:r>
    </w:p>
    <w:p>
      <w:pPr>
        <w:spacing w:line="240" w:lineRule="auto"/>
        <w:ind w:firstLine="0" w:firstLineChars="0"/>
        <w:rPr>
          <w:color w:val="000000"/>
        </w:rPr>
      </w:pPr>
      <w:r>
        <w:rPr>
          <w:color w:val="000000"/>
        </w:rPr>
        <w:drawing>
          <wp:inline distT="0" distB="0" distL="114300" distR="114300">
            <wp:extent cx="8837295" cy="5268595"/>
            <wp:effectExtent l="0" t="0" r="1905" b="8255"/>
            <wp:docPr id="13" name="图片 2" descr="D:\项目\2020\宁德十四五\宁德\现代农业产业园\宁德市优势特色产业集群布局图1.jpg宁德市优势特色产业集群布局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项目\2020\宁德十四五\宁德\现代农业产业园\宁德市优势特色产业集群布局图1.jpg宁德市优势特色产业集群布局图1"/>
                    <pic:cNvPicPr>
                      <a:picLocks noChangeAspect="1"/>
                    </pic:cNvPicPr>
                  </pic:nvPicPr>
                  <pic:blipFill>
                    <a:blip r:embed="rId17"/>
                    <a:stretch>
                      <a:fillRect/>
                    </a:stretch>
                  </pic:blipFill>
                  <pic:spPr>
                    <a:xfrm>
                      <a:off x="0" y="0"/>
                      <a:ext cx="8837295" cy="5268595"/>
                    </a:xfrm>
                    <a:prstGeom prst="rect">
                      <a:avLst/>
                    </a:prstGeom>
                    <a:noFill/>
                    <a:ln>
                      <a:noFill/>
                    </a:ln>
                  </pic:spPr>
                </pic:pic>
              </a:graphicData>
            </a:graphic>
          </wp:inline>
        </w:drawing>
      </w:r>
    </w:p>
    <w:p>
      <w:pPr>
        <w:spacing w:line="240" w:lineRule="auto"/>
        <w:ind w:firstLine="0" w:firstLineChars="0"/>
        <w:rPr>
          <w:color w:val="000000"/>
        </w:rPr>
      </w:pPr>
      <w:r>
        <w:rPr>
          <w:color w:val="000000"/>
        </w:rPr>
        <w:drawing>
          <wp:inline distT="0" distB="0" distL="114300" distR="114300">
            <wp:extent cx="8826500" cy="5419725"/>
            <wp:effectExtent l="0" t="0" r="12700" b="9525"/>
            <wp:docPr id="14" name="图片 4" descr="D:\项目\2020\宁德十四五\宁德\现代农业产业园\宁德市产业强镇布局图1.jpg宁德市产业强镇布局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D:\项目\2020\宁德十四五\宁德\现代农业产业园\宁德市产业强镇布局图1.jpg宁德市产业强镇布局图1"/>
                    <pic:cNvPicPr>
                      <a:picLocks noChangeAspect="1"/>
                    </pic:cNvPicPr>
                  </pic:nvPicPr>
                  <pic:blipFill>
                    <a:blip r:embed="rId18"/>
                    <a:stretch>
                      <a:fillRect/>
                    </a:stretch>
                  </pic:blipFill>
                  <pic:spPr>
                    <a:xfrm>
                      <a:off x="0" y="0"/>
                      <a:ext cx="8826500" cy="5419725"/>
                    </a:xfrm>
                    <a:prstGeom prst="rect">
                      <a:avLst/>
                    </a:prstGeom>
                    <a:noFill/>
                    <a:ln>
                      <a:noFill/>
                    </a:ln>
                  </pic:spPr>
                </pic:pic>
              </a:graphicData>
            </a:graphic>
          </wp:inline>
        </w:drawing>
      </w:r>
    </w:p>
    <w:p>
      <w:pPr>
        <w:pStyle w:val="3"/>
        <w:jc w:val="both"/>
        <w:rPr>
          <w:rFonts w:hint="eastAsia" w:ascii="黑体" w:hAnsi="黑体" w:eastAsia="黑体" w:cs="黑体"/>
          <w:b w:val="0"/>
          <w:bCs/>
          <w:color w:val="000000"/>
          <w:sz w:val="32"/>
          <w:lang w:val="en-US" w:eastAsia="zh-CN"/>
        </w:rPr>
      </w:pPr>
      <w:bookmarkStart w:id="995" w:name="_Toc2175"/>
      <w:bookmarkStart w:id="996" w:name="_Toc21400"/>
      <w:bookmarkStart w:id="997" w:name="_Toc5450"/>
      <w:bookmarkStart w:id="998" w:name="_Toc1334"/>
      <w:bookmarkStart w:id="999" w:name="_Toc7186"/>
      <w:bookmarkStart w:id="1000" w:name="_Toc21294"/>
      <w:bookmarkStart w:id="1001" w:name="_Toc7292"/>
      <w:bookmarkStart w:id="1002" w:name="_Toc29349"/>
      <w:r>
        <w:rPr>
          <w:rFonts w:hint="eastAsia" w:ascii="黑体" w:hAnsi="黑体" w:eastAsia="黑体" w:cs="黑体"/>
          <w:b w:val="0"/>
          <w:bCs/>
          <w:color w:val="000000"/>
          <w:sz w:val="32"/>
          <w:lang w:eastAsia="zh-CN"/>
        </w:rPr>
        <w:t>附件</w:t>
      </w:r>
      <w:r>
        <w:rPr>
          <w:rFonts w:hint="eastAsia" w:ascii="黑体" w:hAnsi="黑体" w:eastAsia="黑体" w:cs="黑体"/>
          <w:b w:val="0"/>
          <w:bCs/>
          <w:color w:val="000000"/>
          <w:sz w:val="32"/>
          <w:lang w:val="en-US" w:eastAsia="zh-CN"/>
        </w:rPr>
        <w:t>3</w:t>
      </w:r>
    </w:p>
    <w:p>
      <w:pPr>
        <w:pStyle w:val="3"/>
        <w:jc w:val="center"/>
        <w:rPr>
          <w:color w:val="000000"/>
        </w:rPr>
      </w:pPr>
      <w:r>
        <w:rPr>
          <w:rFonts w:hint="eastAsia" w:ascii="方正小标宋_GBK" w:hAnsi="方正小标宋_GBK" w:eastAsia="方正小标宋_GBK" w:cs="方正小标宋_GBK"/>
          <w:b w:val="0"/>
          <w:bCs/>
          <w:color w:val="000000"/>
          <w:sz w:val="44"/>
          <w:szCs w:val="44"/>
        </w:rPr>
        <w:t>规划相关表格</w:t>
      </w:r>
      <w:bookmarkEnd w:id="995"/>
      <w:bookmarkEnd w:id="996"/>
      <w:bookmarkEnd w:id="997"/>
      <w:bookmarkEnd w:id="998"/>
      <w:bookmarkEnd w:id="999"/>
      <w:bookmarkEnd w:id="1000"/>
      <w:bookmarkEnd w:id="1001"/>
      <w:bookmarkEnd w:id="1002"/>
    </w:p>
    <w:tbl>
      <w:tblPr>
        <w:tblStyle w:val="16"/>
        <w:tblW w:w="13520" w:type="dxa"/>
        <w:tblInd w:w="96" w:type="dxa"/>
        <w:tblLayout w:type="fixed"/>
        <w:tblCellMar>
          <w:top w:w="0" w:type="dxa"/>
          <w:left w:w="108" w:type="dxa"/>
          <w:bottom w:w="0" w:type="dxa"/>
          <w:right w:w="108" w:type="dxa"/>
        </w:tblCellMar>
      </w:tblPr>
      <w:tblGrid>
        <w:gridCol w:w="722"/>
        <w:gridCol w:w="4285"/>
        <w:gridCol w:w="8513"/>
      </w:tblGrid>
      <w:tr>
        <w:tblPrEx>
          <w:tblCellMar>
            <w:top w:w="0" w:type="dxa"/>
            <w:left w:w="108" w:type="dxa"/>
            <w:bottom w:w="0" w:type="dxa"/>
            <w:right w:w="108" w:type="dxa"/>
          </w:tblCellMar>
        </w:tblPrEx>
        <w:trPr>
          <w:trHeight w:val="559" w:hRule="atLeast"/>
        </w:trPr>
        <w:tc>
          <w:tcPr>
            <w:tcW w:w="13520" w:type="dxa"/>
            <w:gridSpan w:val="3"/>
            <w:tcBorders>
              <w:top w:val="single" w:color="000000" w:sz="4" w:space="0"/>
              <w:left w:val="single" w:color="000000" w:sz="4" w:space="0"/>
              <w:bottom w:val="single" w:color="000000" w:sz="4" w:space="0"/>
              <w:right w:val="single" w:color="000000" w:sz="4" w:space="0"/>
            </w:tcBorders>
            <w:noWrap/>
            <w:vAlign w:val="center"/>
          </w:tcPr>
          <w:p>
            <w:pPr>
              <w:ind w:firstLine="602"/>
              <w:jc w:val="center"/>
              <w:textAlignment w:val="center"/>
              <w:rPr>
                <w:rFonts w:ascii="仿宋_GB2312" w:hAnsi="仿宋_GB2312" w:cs="仿宋_GB2312"/>
                <w:b/>
                <w:bCs/>
                <w:color w:val="000000"/>
                <w:sz w:val="30"/>
                <w:szCs w:val="30"/>
              </w:rPr>
            </w:pPr>
            <w:r>
              <w:rPr>
                <w:rFonts w:hint="eastAsia" w:ascii="黑体" w:hAnsi="黑体" w:eastAsia="黑体" w:cs="黑体"/>
                <w:b w:val="0"/>
                <w:bCs w:val="0"/>
                <w:color w:val="000000"/>
                <w:kern w:val="0"/>
                <w:sz w:val="30"/>
                <w:szCs w:val="30"/>
              </w:rPr>
              <w:t>宁德市十四五期间重点培育现代农业产业园名单</w:t>
            </w:r>
          </w:p>
        </w:tc>
      </w:tr>
      <w:tr>
        <w:tblPrEx>
          <w:tblCellMar>
            <w:top w:w="0" w:type="dxa"/>
            <w:left w:w="108" w:type="dxa"/>
            <w:bottom w:w="0" w:type="dxa"/>
            <w:right w:w="108" w:type="dxa"/>
          </w:tblCellMar>
        </w:tblPrEx>
        <w:trPr>
          <w:trHeight w:val="942"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rFonts w:hint="eastAsia" w:ascii="黑体" w:hAnsi="黑体" w:eastAsia="黑体" w:cs="黑体"/>
                <w:b w:val="0"/>
                <w:bCs w:val="0"/>
                <w:color w:val="000000"/>
                <w:sz w:val="24"/>
              </w:rPr>
            </w:pPr>
            <w:r>
              <w:rPr>
                <w:rFonts w:hint="eastAsia" w:ascii="黑体" w:hAnsi="黑体" w:eastAsia="黑体" w:cs="黑体"/>
                <w:b w:val="0"/>
                <w:bCs w:val="0"/>
                <w:color w:val="000000"/>
                <w:kern w:val="0"/>
                <w:sz w:val="24"/>
              </w:rPr>
              <w:t>序号</w:t>
            </w:r>
          </w:p>
        </w:tc>
        <w:tc>
          <w:tcPr>
            <w:tcW w:w="4285" w:type="dxa"/>
            <w:tcBorders>
              <w:top w:val="single" w:color="000000" w:sz="4" w:space="0"/>
              <w:left w:val="single" w:color="000000" w:sz="4" w:space="0"/>
              <w:bottom w:val="single" w:color="000000" w:sz="4" w:space="0"/>
              <w:right w:val="single" w:color="000000" w:sz="4" w:space="0"/>
            </w:tcBorders>
            <w:noWrap/>
            <w:vAlign w:val="center"/>
          </w:tcPr>
          <w:p>
            <w:pPr>
              <w:ind w:firstLine="482"/>
              <w:jc w:val="center"/>
              <w:textAlignment w:val="center"/>
              <w:rPr>
                <w:rFonts w:hint="eastAsia" w:ascii="黑体" w:hAnsi="黑体" w:eastAsia="黑体" w:cs="黑体"/>
                <w:b w:val="0"/>
                <w:bCs w:val="0"/>
                <w:color w:val="000000"/>
                <w:sz w:val="24"/>
              </w:rPr>
            </w:pPr>
            <w:r>
              <w:rPr>
                <w:rFonts w:hint="eastAsia" w:ascii="黑体" w:hAnsi="黑体" w:eastAsia="黑体" w:cs="黑体"/>
                <w:b w:val="0"/>
                <w:bCs w:val="0"/>
                <w:color w:val="000000"/>
                <w:kern w:val="0"/>
                <w:sz w:val="24"/>
              </w:rPr>
              <w:t>产业园名称</w:t>
            </w:r>
          </w:p>
        </w:tc>
        <w:tc>
          <w:tcPr>
            <w:tcW w:w="8513" w:type="dxa"/>
            <w:tcBorders>
              <w:top w:val="single" w:color="000000" w:sz="4" w:space="0"/>
              <w:left w:val="single" w:color="000000" w:sz="4" w:space="0"/>
              <w:bottom w:val="single" w:color="000000" w:sz="4" w:space="0"/>
              <w:right w:val="single" w:color="000000" w:sz="4" w:space="0"/>
            </w:tcBorders>
            <w:noWrap/>
            <w:vAlign w:val="center"/>
          </w:tcPr>
          <w:p>
            <w:pPr>
              <w:ind w:firstLine="482"/>
              <w:jc w:val="center"/>
              <w:textAlignment w:val="center"/>
              <w:rPr>
                <w:rFonts w:hint="eastAsia" w:ascii="黑体" w:hAnsi="黑体" w:eastAsia="黑体" w:cs="黑体"/>
                <w:b w:val="0"/>
                <w:bCs w:val="0"/>
                <w:color w:val="000000"/>
                <w:sz w:val="24"/>
              </w:rPr>
            </w:pPr>
            <w:r>
              <w:rPr>
                <w:rFonts w:hint="eastAsia" w:ascii="黑体" w:hAnsi="黑体" w:eastAsia="黑体" w:cs="黑体"/>
                <w:b w:val="0"/>
                <w:bCs w:val="0"/>
                <w:color w:val="000000"/>
                <w:kern w:val="0"/>
                <w:sz w:val="24"/>
              </w:rPr>
              <w:t>实施区域（乡镇）</w:t>
            </w:r>
          </w:p>
        </w:tc>
      </w:tr>
      <w:tr>
        <w:tblPrEx>
          <w:tblCellMar>
            <w:top w:w="0" w:type="dxa"/>
            <w:left w:w="108" w:type="dxa"/>
            <w:bottom w:w="0" w:type="dxa"/>
            <w:right w:w="108" w:type="dxa"/>
          </w:tblCellMar>
        </w:tblPrEx>
        <w:trPr>
          <w:trHeight w:val="972"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ind w:left="0" w:leftChars="0"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福安市现代农业（葡萄）产业园</w:t>
            </w:r>
          </w:p>
        </w:tc>
        <w:tc>
          <w:tcPr>
            <w:tcW w:w="8513" w:type="dxa"/>
            <w:tcBorders>
              <w:top w:val="single" w:color="000000" w:sz="4" w:space="0"/>
              <w:left w:val="single" w:color="000000" w:sz="4" w:space="0"/>
              <w:bottom w:val="single" w:color="000000" w:sz="4" w:space="0"/>
              <w:right w:val="single" w:color="000000" w:sz="4" w:space="0"/>
            </w:tcBorders>
            <w:noWrap w:val="0"/>
            <w:vAlign w:val="center"/>
          </w:tcPr>
          <w:p>
            <w:pPr>
              <w:ind w:firstLine="48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赛岐镇、松罗乡、溪柄镇、下白石镇、晓阳镇、穆云乡、湾坞镇、城阳镇</w:t>
            </w:r>
          </w:p>
        </w:tc>
      </w:tr>
      <w:tr>
        <w:tblPrEx>
          <w:tblCellMar>
            <w:top w:w="0" w:type="dxa"/>
            <w:left w:w="108" w:type="dxa"/>
            <w:bottom w:w="0" w:type="dxa"/>
            <w:right w:w="108" w:type="dxa"/>
          </w:tblCellMar>
        </w:tblPrEx>
        <w:trPr>
          <w:trHeight w:val="972"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2</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ind w:left="0" w:leftChars="0"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福鼎市现代农业（茶业）产业园▲</w:t>
            </w:r>
          </w:p>
        </w:tc>
        <w:tc>
          <w:tcPr>
            <w:tcW w:w="8513" w:type="dxa"/>
            <w:tcBorders>
              <w:top w:val="single" w:color="000000" w:sz="4" w:space="0"/>
              <w:left w:val="single" w:color="000000" w:sz="4" w:space="0"/>
              <w:bottom w:val="single" w:color="000000" w:sz="4" w:space="0"/>
              <w:right w:val="single" w:color="000000" w:sz="4" w:space="0"/>
            </w:tcBorders>
            <w:noWrap w:val="0"/>
            <w:vAlign w:val="center"/>
          </w:tcPr>
          <w:p>
            <w:pPr>
              <w:ind w:firstLine="48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点头镇、白琳镇、磻溪镇、管阳镇、太姥山镇</w:t>
            </w:r>
          </w:p>
        </w:tc>
      </w:tr>
      <w:tr>
        <w:tblPrEx>
          <w:tblCellMar>
            <w:top w:w="0" w:type="dxa"/>
            <w:left w:w="108" w:type="dxa"/>
            <w:bottom w:w="0" w:type="dxa"/>
            <w:right w:w="108" w:type="dxa"/>
          </w:tblCellMar>
        </w:tblPrEx>
        <w:trPr>
          <w:trHeight w:val="972"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3</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ind w:left="0" w:leftChars="0"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蕉城区现代农业（大黄鱼）产业园</w:t>
            </w:r>
          </w:p>
        </w:tc>
        <w:tc>
          <w:tcPr>
            <w:tcW w:w="8513" w:type="dxa"/>
            <w:tcBorders>
              <w:top w:val="single" w:color="000000" w:sz="4" w:space="0"/>
              <w:left w:val="single" w:color="000000" w:sz="4" w:space="0"/>
              <w:bottom w:val="single" w:color="000000" w:sz="4" w:space="0"/>
              <w:right w:val="single" w:color="000000" w:sz="4" w:space="0"/>
            </w:tcBorders>
            <w:noWrap w:val="0"/>
            <w:vAlign w:val="center"/>
          </w:tcPr>
          <w:p>
            <w:pPr>
              <w:ind w:firstLine="48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三都镇、飞鸾镇、漳湾镇、七都镇、八都镇、城南镇、东侨经济开发区</w:t>
            </w:r>
          </w:p>
        </w:tc>
      </w:tr>
      <w:tr>
        <w:tblPrEx>
          <w:tblCellMar>
            <w:top w:w="0" w:type="dxa"/>
            <w:left w:w="108" w:type="dxa"/>
            <w:bottom w:w="0" w:type="dxa"/>
            <w:right w:w="108" w:type="dxa"/>
          </w:tblCellMar>
        </w:tblPrEx>
        <w:trPr>
          <w:trHeight w:val="972"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4</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ind w:left="0" w:leftChars="0"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古田县现代农业（食用菌）产业园▲</w:t>
            </w:r>
          </w:p>
        </w:tc>
        <w:tc>
          <w:tcPr>
            <w:tcW w:w="8513" w:type="dxa"/>
            <w:tcBorders>
              <w:top w:val="single" w:color="000000" w:sz="4" w:space="0"/>
              <w:left w:val="single" w:color="000000" w:sz="4" w:space="0"/>
              <w:bottom w:val="single" w:color="000000" w:sz="4" w:space="0"/>
              <w:right w:val="single" w:color="000000" w:sz="4" w:space="0"/>
            </w:tcBorders>
            <w:noWrap w:val="0"/>
            <w:vAlign w:val="center"/>
          </w:tcPr>
          <w:p>
            <w:pPr>
              <w:ind w:firstLine="48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城东街道、城西街道、大桥镇、吉巷乡、凤埔乡、平湖镇</w:t>
            </w:r>
          </w:p>
        </w:tc>
      </w:tr>
      <w:tr>
        <w:tblPrEx>
          <w:tblCellMar>
            <w:top w:w="0" w:type="dxa"/>
            <w:left w:w="108" w:type="dxa"/>
            <w:bottom w:w="0" w:type="dxa"/>
            <w:right w:w="108" w:type="dxa"/>
          </w:tblCellMar>
        </w:tblPrEx>
        <w:trPr>
          <w:trHeight w:val="532" w:hRule="atLeast"/>
        </w:trPr>
        <w:tc>
          <w:tcPr>
            <w:tcW w:w="13520" w:type="dxa"/>
            <w:gridSpan w:val="3"/>
            <w:tcBorders>
              <w:top w:val="single" w:color="000000" w:sz="4" w:space="0"/>
              <w:left w:val="single" w:color="000000" w:sz="4" w:space="0"/>
              <w:bottom w:val="single" w:color="000000" w:sz="4" w:space="0"/>
              <w:right w:val="single" w:color="000000" w:sz="4" w:space="0"/>
            </w:tcBorders>
            <w:noWrap/>
            <w:vAlign w:val="center"/>
          </w:tcPr>
          <w:p>
            <w:pPr>
              <w:ind w:firstLine="48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标注▲，表示已获批国家级现代农业产业园</w:t>
            </w:r>
          </w:p>
        </w:tc>
      </w:tr>
    </w:tbl>
    <w:p>
      <w:pPr>
        <w:pStyle w:val="15"/>
        <w:ind w:left="0" w:leftChars="0" w:firstLine="0"/>
      </w:pPr>
    </w:p>
    <w:p>
      <w:pPr>
        <w:pStyle w:val="15"/>
        <w:adjustRightInd w:val="0"/>
        <w:snapToGrid w:val="0"/>
        <w:ind w:left="0" w:leftChars="0" w:firstLine="0"/>
      </w:pPr>
    </w:p>
    <w:tbl>
      <w:tblPr>
        <w:tblStyle w:val="16"/>
        <w:tblW w:w="13942"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321"/>
        <w:gridCol w:w="820"/>
        <w:gridCol w:w="368"/>
        <w:gridCol w:w="2400"/>
        <w:gridCol w:w="272"/>
        <w:gridCol w:w="656"/>
        <w:gridCol w:w="2340"/>
        <w:gridCol w:w="169"/>
        <w:gridCol w:w="2870"/>
        <w:gridCol w:w="543"/>
        <w:gridCol w:w="1712"/>
        <w:gridCol w:w="285"/>
        <w:gridCol w:w="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489" w:hRule="atLeast"/>
        </w:trPr>
        <w:tc>
          <w:tcPr>
            <w:tcW w:w="13700" w:type="dxa"/>
            <w:gridSpan w:val="14"/>
            <w:noWrap w:val="0"/>
            <w:vAlign w:val="center"/>
          </w:tcPr>
          <w:p>
            <w:pPr>
              <w:ind w:firstLine="0" w:firstLineChars="0"/>
              <w:jc w:val="center"/>
              <w:rPr>
                <w:rFonts w:hint="eastAsia" w:ascii="黑体" w:hAnsi="黑体" w:eastAsia="黑体" w:cs="黑体"/>
                <w:b w:val="0"/>
                <w:bCs/>
                <w:kern w:val="0"/>
                <w:sz w:val="24"/>
              </w:rPr>
            </w:pPr>
            <w:r>
              <w:rPr>
                <w:rFonts w:hint="eastAsia" w:ascii="黑体" w:hAnsi="黑体" w:eastAsia="黑体" w:cs="黑体"/>
                <w:b w:val="0"/>
                <w:bCs/>
                <w:color w:val="000000"/>
                <w:sz w:val="30"/>
                <w:szCs w:val="30"/>
              </w:rPr>
              <w:t>确定保留的现代农业产业园名单（37个）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09" w:hRule="atLeast"/>
        </w:trPr>
        <w:tc>
          <w:tcPr>
            <w:tcW w:w="1125" w:type="dxa"/>
            <w:gridSpan w:val="2"/>
            <w:noWrap w:val="0"/>
            <w:vAlign w:val="center"/>
          </w:tcPr>
          <w:p>
            <w:pPr>
              <w:spacing w:line="240" w:lineRule="auto"/>
              <w:ind w:firstLine="0" w:firstLineChars="0"/>
              <w:rPr>
                <w:rFonts w:hint="eastAsia" w:ascii="黑体" w:hAnsi="黑体" w:eastAsia="黑体" w:cs="黑体"/>
                <w:b w:val="0"/>
                <w:bCs/>
                <w:kern w:val="0"/>
                <w:sz w:val="24"/>
              </w:rPr>
            </w:pPr>
            <w:r>
              <w:rPr>
                <w:rFonts w:hint="eastAsia" w:ascii="黑体" w:hAnsi="黑体" w:eastAsia="黑体" w:cs="黑体"/>
                <w:b w:val="0"/>
                <w:bCs/>
                <w:kern w:val="0"/>
                <w:sz w:val="24"/>
              </w:rPr>
              <w:t>项目县</w:t>
            </w:r>
          </w:p>
        </w:tc>
        <w:tc>
          <w:tcPr>
            <w:tcW w:w="820" w:type="dxa"/>
            <w:noWrap w:val="0"/>
            <w:vAlign w:val="center"/>
          </w:tcPr>
          <w:p>
            <w:pPr>
              <w:spacing w:line="240" w:lineRule="auto"/>
              <w:ind w:firstLine="0" w:firstLineChars="0"/>
              <w:jc w:val="center"/>
              <w:rPr>
                <w:rFonts w:hint="eastAsia" w:ascii="黑体" w:hAnsi="黑体" w:eastAsia="黑体" w:cs="黑体"/>
                <w:b w:val="0"/>
                <w:bCs/>
                <w:kern w:val="0"/>
                <w:sz w:val="24"/>
              </w:rPr>
            </w:pPr>
            <w:r>
              <w:rPr>
                <w:rFonts w:hint="eastAsia" w:ascii="黑体" w:hAnsi="黑体" w:eastAsia="黑体" w:cs="黑体"/>
                <w:b w:val="0"/>
                <w:bCs/>
                <w:kern w:val="0"/>
                <w:sz w:val="24"/>
              </w:rPr>
              <w:t>序号</w:t>
            </w:r>
          </w:p>
        </w:tc>
        <w:tc>
          <w:tcPr>
            <w:tcW w:w="2768" w:type="dxa"/>
            <w:gridSpan w:val="2"/>
            <w:noWrap w:val="0"/>
            <w:vAlign w:val="center"/>
          </w:tcPr>
          <w:p>
            <w:pPr>
              <w:spacing w:line="240" w:lineRule="auto"/>
              <w:ind w:firstLine="0" w:firstLineChars="0"/>
              <w:jc w:val="center"/>
              <w:rPr>
                <w:rFonts w:hint="eastAsia" w:ascii="黑体" w:hAnsi="黑体" w:eastAsia="黑体" w:cs="黑体"/>
                <w:b w:val="0"/>
                <w:bCs/>
                <w:kern w:val="0"/>
                <w:sz w:val="24"/>
              </w:rPr>
            </w:pPr>
            <w:r>
              <w:rPr>
                <w:rFonts w:hint="eastAsia" w:ascii="黑体" w:hAnsi="黑体" w:eastAsia="黑体" w:cs="黑体"/>
                <w:b w:val="0"/>
                <w:bCs/>
                <w:kern w:val="0"/>
                <w:sz w:val="24"/>
              </w:rPr>
              <w:t>产业园名称</w:t>
            </w:r>
          </w:p>
        </w:tc>
        <w:tc>
          <w:tcPr>
            <w:tcW w:w="3268" w:type="dxa"/>
            <w:gridSpan w:val="3"/>
            <w:noWrap w:val="0"/>
            <w:vAlign w:val="center"/>
          </w:tcPr>
          <w:p>
            <w:pPr>
              <w:spacing w:line="240" w:lineRule="auto"/>
              <w:ind w:firstLine="0" w:firstLineChars="0"/>
              <w:jc w:val="center"/>
              <w:rPr>
                <w:rFonts w:hint="eastAsia" w:ascii="黑体" w:hAnsi="黑体" w:eastAsia="黑体" w:cs="黑体"/>
                <w:b w:val="0"/>
                <w:bCs/>
                <w:kern w:val="0"/>
                <w:sz w:val="24"/>
              </w:rPr>
            </w:pPr>
            <w:r>
              <w:rPr>
                <w:rFonts w:hint="eastAsia" w:ascii="黑体" w:hAnsi="黑体" w:eastAsia="黑体" w:cs="黑体"/>
                <w:b w:val="0"/>
                <w:bCs/>
                <w:kern w:val="0"/>
                <w:sz w:val="24"/>
              </w:rPr>
              <w:t>创建区域</w:t>
            </w:r>
          </w:p>
        </w:tc>
        <w:tc>
          <w:tcPr>
            <w:tcW w:w="3039" w:type="dxa"/>
            <w:gridSpan w:val="2"/>
            <w:noWrap w:val="0"/>
            <w:vAlign w:val="center"/>
          </w:tcPr>
          <w:p>
            <w:pPr>
              <w:spacing w:line="240" w:lineRule="auto"/>
              <w:ind w:firstLine="0" w:firstLineChars="0"/>
              <w:jc w:val="center"/>
              <w:rPr>
                <w:rFonts w:hint="eastAsia" w:ascii="黑体" w:hAnsi="黑体" w:eastAsia="黑体" w:cs="黑体"/>
                <w:b w:val="0"/>
                <w:bCs/>
                <w:kern w:val="0"/>
                <w:sz w:val="24"/>
              </w:rPr>
            </w:pPr>
            <w:r>
              <w:rPr>
                <w:rFonts w:hint="eastAsia" w:ascii="黑体" w:hAnsi="黑体" w:eastAsia="黑体" w:cs="黑体"/>
                <w:b w:val="0"/>
                <w:bCs/>
                <w:kern w:val="0"/>
                <w:sz w:val="24"/>
              </w:rPr>
              <w:t>主导产业</w:t>
            </w:r>
          </w:p>
        </w:tc>
        <w:tc>
          <w:tcPr>
            <w:tcW w:w="2680" w:type="dxa"/>
            <w:gridSpan w:val="4"/>
            <w:noWrap w:val="0"/>
            <w:vAlign w:val="center"/>
          </w:tcPr>
          <w:p>
            <w:pPr>
              <w:spacing w:line="240" w:lineRule="auto"/>
              <w:ind w:firstLine="0" w:firstLineChars="0"/>
              <w:jc w:val="center"/>
              <w:rPr>
                <w:rFonts w:hint="eastAsia" w:ascii="黑体" w:hAnsi="黑体" w:eastAsia="黑体" w:cs="黑体"/>
                <w:b w:val="0"/>
                <w:bCs/>
                <w:kern w:val="0"/>
                <w:sz w:val="24"/>
              </w:rPr>
            </w:pPr>
            <w:r>
              <w:rPr>
                <w:rFonts w:hint="eastAsia" w:ascii="黑体" w:hAnsi="黑体" w:eastAsia="黑体" w:cs="黑体"/>
                <w:b w:val="0"/>
                <w:bCs/>
                <w:kern w:val="0"/>
                <w:sz w:val="24"/>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93" w:hRule="atLeast"/>
        </w:trPr>
        <w:tc>
          <w:tcPr>
            <w:tcW w:w="1125" w:type="dxa"/>
            <w:gridSpan w:val="2"/>
            <w:vMerge w:val="restart"/>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蕉城</w:t>
            </w: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1</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蕉城现代生猪产业园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蕉城区、九都镇、金涵乡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生猪</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2019省级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93"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2</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蕉城现代茶业产业园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霍童镇、赤溪镇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茶叶</w:t>
            </w:r>
          </w:p>
        </w:tc>
        <w:tc>
          <w:tcPr>
            <w:tcW w:w="2680" w:type="dxa"/>
            <w:gridSpan w:val="4"/>
            <w:noWrap w:val="0"/>
            <w:vAlign w:val="center"/>
          </w:tcPr>
          <w:p>
            <w:pPr>
              <w:spacing w:line="400" w:lineRule="exact"/>
              <w:ind w:right="240"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市级/省级备选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93"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3</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赤溪现代水果产业园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赤溪镇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砂糖橘、葡萄、火龙果</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93"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4</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虎贝现代食用菌产业园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虎贝镇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香菇、大球盖菇</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93"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5</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虎贝现代水果产业园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虎贝镇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猕猴桃</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88" w:hRule="atLeast"/>
        </w:trPr>
        <w:tc>
          <w:tcPr>
            <w:tcW w:w="1125" w:type="dxa"/>
            <w:gridSpan w:val="2"/>
            <w:vMerge w:val="restart"/>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古田</w:t>
            </w: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1</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古田现代食用菌产业园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大桥镇、吉巷乡、城东街道</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食用菌</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2017省级/2019国家级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2</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古田现代水果产业园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大桥镇、凤都镇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水蜜桃</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市级/省级备选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3</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城东现代水果产业园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城东街道仕坂村</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油柰</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4</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大桥现代水果产业园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大桥镇　</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水蜜桃</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5</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古田现代水果产业园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平湖镇、吉巷乡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李</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6</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古田现代水果产业园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黄田镇、水口镇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脐橙</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88" w:hRule="atLeast"/>
        </w:trPr>
        <w:tc>
          <w:tcPr>
            <w:tcW w:w="1125" w:type="dxa"/>
            <w:gridSpan w:val="2"/>
            <w:vMerge w:val="restart"/>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屏南</w:t>
            </w: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1</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屏南现代肉羊产业园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寿山乡、双溪镇、代溪镇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肉羊</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省级备选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2</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屏南现代蔬菜产业园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岭下乡、棠口乡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花椰菜</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3</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甘棠现代水果产业园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甘棠乡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芙蓉李</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88" w:hRule="atLeast"/>
        </w:trPr>
        <w:tc>
          <w:tcPr>
            <w:tcW w:w="1125" w:type="dxa"/>
            <w:gridSpan w:val="2"/>
            <w:vMerge w:val="restart"/>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周宁</w:t>
            </w: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1</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周宁现代茶业产业园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七步镇、咸村镇、玛坑乡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 xml:space="preserve"> 茶叶</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2018省级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393"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2</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周宁现代蔬菜产业园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李墩镇、泗桥乡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设施蔬菜</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242" w:type="dxa"/>
          <w:trHeight w:val="90"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3</w:t>
            </w:r>
          </w:p>
        </w:tc>
        <w:tc>
          <w:tcPr>
            <w:tcW w:w="2768"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周宁现代水果产业园</w:t>
            </w:r>
          </w:p>
        </w:tc>
        <w:tc>
          <w:tcPr>
            <w:tcW w:w="3268"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spacing w:val="-20"/>
                <w:kern w:val="0"/>
                <w:sz w:val="24"/>
              </w:rPr>
              <w:t>纯池镇、泗桥乡（浦源镇、咸村镇）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葡萄</w:t>
            </w:r>
          </w:p>
        </w:tc>
        <w:tc>
          <w:tcPr>
            <w:tcW w:w="2680"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25" w:type="dxa"/>
            <w:gridSpan w:val="2"/>
            <w:noWrap w:val="0"/>
            <w:vAlign w:val="center"/>
          </w:tcPr>
          <w:p>
            <w:pPr>
              <w:spacing w:line="240" w:lineRule="auto"/>
              <w:ind w:firstLine="0" w:firstLineChars="0"/>
              <w:rPr>
                <w:rFonts w:hint="eastAsia" w:ascii="黑体" w:hAnsi="黑体" w:eastAsia="黑体" w:cs="黑体"/>
                <w:b w:val="0"/>
                <w:bCs w:val="0"/>
                <w:kern w:val="0"/>
                <w:sz w:val="24"/>
              </w:rPr>
            </w:pPr>
            <w:r>
              <w:rPr>
                <w:rFonts w:hint="eastAsia" w:ascii="黑体" w:hAnsi="黑体" w:eastAsia="黑体" w:cs="黑体"/>
                <w:b w:val="0"/>
                <w:bCs w:val="0"/>
                <w:kern w:val="0"/>
                <w:sz w:val="24"/>
              </w:rPr>
              <w:t>项目县</w:t>
            </w:r>
          </w:p>
        </w:tc>
        <w:tc>
          <w:tcPr>
            <w:tcW w:w="820" w:type="dxa"/>
            <w:noWrap w:val="0"/>
            <w:vAlign w:val="center"/>
          </w:tcPr>
          <w:p>
            <w:pPr>
              <w:spacing w:line="240" w:lineRule="auto"/>
              <w:ind w:firstLine="0" w:firstLineChars="0"/>
              <w:jc w:val="center"/>
              <w:rPr>
                <w:rFonts w:hint="eastAsia" w:ascii="黑体" w:hAnsi="黑体" w:eastAsia="黑体" w:cs="黑体"/>
                <w:b w:val="0"/>
                <w:bCs w:val="0"/>
                <w:kern w:val="0"/>
                <w:sz w:val="24"/>
              </w:rPr>
            </w:pPr>
            <w:r>
              <w:rPr>
                <w:rFonts w:hint="eastAsia" w:ascii="黑体" w:hAnsi="黑体" w:eastAsia="黑体" w:cs="黑体"/>
                <w:b w:val="0"/>
                <w:bCs w:val="0"/>
                <w:kern w:val="0"/>
                <w:sz w:val="24"/>
              </w:rPr>
              <w:t>序号</w:t>
            </w:r>
          </w:p>
        </w:tc>
        <w:tc>
          <w:tcPr>
            <w:tcW w:w="3040" w:type="dxa"/>
            <w:gridSpan w:val="3"/>
            <w:noWrap w:val="0"/>
            <w:vAlign w:val="center"/>
          </w:tcPr>
          <w:p>
            <w:pPr>
              <w:spacing w:line="240" w:lineRule="auto"/>
              <w:ind w:firstLine="0" w:firstLineChars="0"/>
              <w:jc w:val="center"/>
              <w:rPr>
                <w:rFonts w:hint="eastAsia" w:ascii="黑体" w:hAnsi="黑体" w:eastAsia="黑体" w:cs="黑体"/>
                <w:b w:val="0"/>
                <w:bCs w:val="0"/>
                <w:kern w:val="0"/>
                <w:sz w:val="24"/>
              </w:rPr>
            </w:pPr>
            <w:r>
              <w:rPr>
                <w:rFonts w:hint="eastAsia" w:ascii="黑体" w:hAnsi="黑体" w:eastAsia="黑体" w:cs="黑体"/>
                <w:b w:val="0"/>
                <w:bCs w:val="0"/>
                <w:kern w:val="0"/>
                <w:sz w:val="24"/>
              </w:rPr>
              <w:t>产业园名称</w:t>
            </w:r>
          </w:p>
        </w:tc>
        <w:tc>
          <w:tcPr>
            <w:tcW w:w="2996" w:type="dxa"/>
            <w:gridSpan w:val="2"/>
            <w:noWrap w:val="0"/>
            <w:vAlign w:val="center"/>
          </w:tcPr>
          <w:p>
            <w:pPr>
              <w:spacing w:line="240" w:lineRule="auto"/>
              <w:ind w:firstLine="0" w:firstLineChars="0"/>
              <w:jc w:val="center"/>
              <w:rPr>
                <w:rFonts w:hint="eastAsia" w:ascii="黑体" w:hAnsi="黑体" w:eastAsia="黑体" w:cs="黑体"/>
                <w:b w:val="0"/>
                <w:bCs w:val="0"/>
                <w:kern w:val="0"/>
                <w:sz w:val="24"/>
              </w:rPr>
            </w:pPr>
            <w:r>
              <w:rPr>
                <w:rFonts w:hint="eastAsia" w:ascii="黑体" w:hAnsi="黑体" w:eastAsia="黑体" w:cs="黑体"/>
                <w:b w:val="0"/>
                <w:bCs w:val="0"/>
                <w:kern w:val="0"/>
                <w:sz w:val="24"/>
              </w:rPr>
              <w:t>创建区域</w:t>
            </w:r>
          </w:p>
        </w:tc>
        <w:tc>
          <w:tcPr>
            <w:tcW w:w="3039" w:type="dxa"/>
            <w:gridSpan w:val="2"/>
            <w:noWrap w:val="0"/>
            <w:vAlign w:val="center"/>
          </w:tcPr>
          <w:p>
            <w:pPr>
              <w:spacing w:line="240" w:lineRule="auto"/>
              <w:ind w:firstLine="0" w:firstLineChars="0"/>
              <w:jc w:val="center"/>
              <w:rPr>
                <w:rFonts w:hint="eastAsia" w:ascii="黑体" w:hAnsi="黑体" w:eastAsia="黑体" w:cs="黑体"/>
                <w:b w:val="0"/>
                <w:bCs w:val="0"/>
                <w:kern w:val="0"/>
                <w:sz w:val="24"/>
              </w:rPr>
            </w:pPr>
            <w:r>
              <w:rPr>
                <w:rFonts w:hint="eastAsia" w:ascii="黑体" w:hAnsi="黑体" w:eastAsia="黑体" w:cs="黑体"/>
                <w:b w:val="0"/>
                <w:bCs w:val="0"/>
                <w:kern w:val="0"/>
                <w:sz w:val="24"/>
              </w:rPr>
              <w:t>主导产业</w:t>
            </w:r>
          </w:p>
        </w:tc>
        <w:tc>
          <w:tcPr>
            <w:tcW w:w="2922" w:type="dxa"/>
            <w:gridSpan w:val="4"/>
            <w:noWrap w:val="0"/>
            <w:vAlign w:val="center"/>
          </w:tcPr>
          <w:p>
            <w:pPr>
              <w:spacing w:line="240" w:lineRule="auto"/>
              <w:ind w:firstLine="0" w:firstLineChars="0"/>
              <w:jc w:val="center"/>
              <w:rPr>
                <w:rFonts w:hint="eastAsia" w:ascii="黑体" w:hAnsi="黑体" w:eastAsia="黑体" w:cs="黑体"/>
                <w:b w:val="0"/>
                <w:bCs w:val="0"/>
                <w:kern w:val="0"/>
                <w:sz w:val="24"/>
              </w:rPr>
            </w:pPr>
            <w:r>
              <w:rPr>
                <w:rFonts w:hint="eastAsia" w:ascii="黑体" w:hAnsi="黑体" w:eastAsia="黑体" w:cs="黑体"/>
                <w:b w:val="0"/>
                <w:bCs w:val="0"/>
                <w:kern w:val="0"/>
                <w:sz w:val="24"/>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1125" w:type="dxa"/>
            <w:gridSpan w:val="2"/>
            <w:vMerge w:val="restart"/>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寿宁</w:t>
            </w: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1</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寿宁现代茶业产业园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南阳镇、竹管垅乡、斜滩镇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 xml:space="preserve"> 茶叶</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2019省级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2</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寿宁现代水果产业园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清源镇、凤阳镇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葡萄</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3</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武曲现代茶业产业园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武曲镇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茶叶</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4</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下党乡现代茶业产业园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下党乡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茶叶</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25" w:type="dxa"/>
            <w:gridSpan w:val="2"/>
            <w:vMerge w:val="restart"/>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福安</w:t>
            </w: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1</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福安现代水果产业园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赛岐镇、溪柄镇、松罗乡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葡萄</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2017省级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2</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福安现代茶业产业园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社口镇、晓阳镇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茶叶</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市级/省级备选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3</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福安高山葡萄产业园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晓阳镇、松罗乡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葡萄</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4</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穆阳溪谷现代水果产业园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穆云乡、穆阳镇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水蜜桃、葡萄</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5</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溪潭现代水果产业园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溪潭镇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脐橙</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25" w:type="dxa"/>
            <w:gridSpan w:val="2"/>
            <w:vMerge w:val="restart"/>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柘荣</w:t>
            </w: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1</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柘荣现代中药材产业园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城郊乡、英山乡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太子参</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2</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柘荣现代茶叶产业园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乍洋乡、富溪镇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茶叶</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3</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柘荣现代水果产业园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城郊乡、楮坪乡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猕猴桃、水蜜桃、葡萄</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125" w:type="dxa"/>
            <w:gridSpan w:val="2"/>
            <w:vMerge w:val="restart"/>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福鼎</w:t>
            </w: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1</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福鼎现代茶业产业园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点头镇、磻溪镇、白琳镇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 xml:space="preserve"> 茶叶</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2017省级/2021年国家级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2</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福鼎现代蔬菜产业园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店下镇、太姥山镇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设施蔬菜</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市级/省级备选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3</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福鼎现代蔬菜产业园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贯岭镇、叠石乡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福鼎槟榔芋</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4</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福鼎现代水果产业园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前岐镇、佳阳乡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福鼎四季柚</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5</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福鼎现代中药材产业园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管阳镇、叠石乡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太子参</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25" w:type="dxa"/>
            <w:gridSpan w:val="2"/>
            <w:vMerge w:val="restart"/>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霞浦</w:t>
            </w: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1</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霞浦现代茶业产业园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崇儒畲族乡</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茶叶</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2</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霞浦现代水果产业园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沙江镇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柚</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25" w:type="dxa"/>
            <w:gridSpan w:val="2"/>
            <w:vMerge w:val="continue"/>
            <w:noWrap w:val="0"/>
            <w:vAlign w:val="center"/>
          </w:tcPr>
          <w:p>
            <w:pPr>
              <w:spacing w:line="400" w:lineRule="exact"/>
              <w:ind w:firstLine="0" w:firstLineChars="0"/>
              <w:jc w:val="left"/>
              <w:rPr>
                <w:rFonts w:ascii="仿宋_GB2312" w:hAnsi="仿宋_GB2312" w:cs="仿宋_GB2312"/>
                <w:color w:val="000000"/>
                <w:kern w:val="0"/>
                <w:sz w:val="24"/>
              </w:rPr>
            </w:pPr>
          </w:p>
        </w:tc>
        <w:tc>
          <w:tcPr>
            <w:tcW w:w="820" w:type="dxa"/>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3</w:t>
            </w:r>
          </w:p>
        </w:tc>
        <w:tc>
          <w:tcPr>
            <w:tcW w:w="3040" w:type="dxa"/>
            <w:gridSpan w:val="3"/>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霞浦现代茶业产业园</w:t>
            </w:r>
          </w:p>
        </w:tc>
        <w:tc>
          <w:tcPr>
            <w:tcW w:w="2996"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溪南镇、沙江镇</w:t>
            </w:r>
          </w:p>
        </w:tc>
        <w:tc>
          <w:tcPr>
            <w:tcW w:w="3039" w:type="dxa"/>
            <w:gridSpan w:val="2"/>
            <w:noWrap w:val="0"/>
            <w:vAlign w:val="center"/>
          </w:tcPr>
          <w:p>
            <w:pPr>
              <w:spacing w:line="400" w:lineRule="exact"/>
              <w:ind w:firstLine="0" w:firstLineChars="0"/>
              <w:jc w:val="center"/>
              <w:rPr>
                <w:rFonts w:ascii="仿宋_GB2312" w:hAnsi="仿宋_GB2312" w:cs="仿宋_GB2312"/>
                <w:color w:val="000000"/>
                <w:kern w:val="0"/>
                <w:sz w:val="24"/>
              </w:rPr>
            </w:pPr>
            <w:r>
              <w:rPr>
                <w:rFonts w:hint="eastAsia" w:ascii="仿宋_GB2312" w:hAnsi="仿宋_GB2312" w:cs="仿宋_GB2312"/>
                <w:color w:val="000000"/>
                <w:kern w:val="0"/>
                <w:sz w:val="24"/>
              </w:rPr>
              <w:t>茶叶</w:t>
            </w:r>
          </w:p>
        </w:tc>
        <w:tc>
          <w:tcPr>
            <w:tcW w:w="2922" w:type="dxa"/>
            <w:gridSpan w:val="4"/>
            <w:noWrap w:val="0"/>
            <w:vAlign w:val="center"/>
          </w:tcPr>
          <w:p>
            <w:pPr>
              <w:spacing w:line="400" w:lineRule="exact"/>
              <w:ind w:firstLine="0" w:firstLineChars="0"/>
              <w:jc w:val="left"/>
              <w:rPr>
                <w:rFonts w:ascii="仿宋_GB2312" w:hAnsi="仿宋_GB2312" w:cs="仿宋_GB2312"/>
                <w:color w:val="000000"/>
                <w:kern w:val="0"/>
                <w:sz w:val="24"/>
              </w:rPr>
            </w:pPr>
            <w:r>
              <w:rPr>
                <w:rFonts w:hint="eastAsia" w:ascii="仿宋_GB2312" w:hAnsi="仿宋_GB2312" w:cs="仿宋_GB2312"/>
                <w:color w:val="000000"/>
                <w:kern w:val="0"/>
                <w:sz w:val="24"/>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99" w:hRule="atLeast"/>
        </w:trPr>
        <w:tc>
          <w:tcPr>
            <w:tcW w:w="13275" w:type="dxa"/>
            <w:gridSpan w:val="12"/>
            <w:noWrap/>
            <w:vAlign w:val="center"/>
          </w:tcPr>
          <w:p>
            <w:pPr>
              <w:ind w:firstLine="0" w:firstLineChars="0"/>
              <w:jc w:val="center"/>
              <w:textAlignment w:val="center"/>
              <w:rPr>
                <w:rFonts w:ascii="仿宋_GB2312" w:hAnsi="宋体" w:cs="宋体"/>
                <w:b/>
                <w:bCs/>
                <w:color w:val="000000"/>
                <w:szCs w:val="32"/>
              </w:rPr>
            </w:pPr>
            <w:r>
              <w:rPr>
                <w:rFonts w:hint="eastAsia" w:ascii="仿宋_GB2312" w:hAnsi="楷体_GB2312" w:cs="楷体_GB2312"/>
                <w:b/>
                <w:bCs/>
                <w:color w:val="000000"/>
                <w:kern w:val="0"/>
                <w:sz w:val="30"/>
                <w:szCs w:val="30"/>
              </w:rPr>
              <w:t>宁德市十四五时期参与建设优势特色产业集群名单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387" w:hRule="atLeast"/>
        </w:trPr>
        <w:tc>
          <w:tcPr>
            <w:tcW w:w="804" w:type="dxa"/>
            <w:noWrap w:val="0"/>
            <w:vAlign w:val="center"/>
          </w:tcPr>
          <w:p>
            <w:pPr>
              <w:spacing w:line="240" w:lineRule="auto"/>
              <w:ind w:firstLine="0" w:firstLineChars="0"/>
              <w:jc w:val="center"/>
              <w:textAlignment w:val="center"/>
              <w:rPr>
                <w:rFonts w:ascii="仿宋_GB2312" w:hAnsi="仿宋_GB2312" w:cs="仿宋_GB2312"/>
                <w:b/>
                <w:bCs/>
                <w:color w:val="000000"/>
                <w:sz w:val="24"/>
              </w:rPr>
            </w:pPr>
            <w:r>
              <w:rPr>
                <w:rFonts w:hint="eastAsia" w:ascii="仿宋_GB2312" w:hAnsi="仿宋_GB2312" w:cs="仿宋_GB2312"/>
                <w:b/>
                <w:bCs/>
                <w:color w:val="000000"/>
                <w:kern w:val="0"/>
                <w:sz w:val="24"/>
              </w:rPr>
              <w:t>序号</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b/>
                <w:bCs/>
                <w:color w:val="000000"/>
                <w:sz w:val="24"/>
              </w:rPr>
            </w:pPr>
            <w:r>
              <w:rPr>
                <w:rFonts w:hint="eastAsia" w:ascii="仿宋_GB2312" w:hAnsi="仿宋_GB2312" w:cs="仿宋_GB2312"/>
                <w:b/>
                <w:bCs/>
                <w:color w:val="000000"/>
                <w:kern w:val="0"/>
                <w:sz w:val="24"/>
              </w:rPr>
              <w:t>产业集群名称</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b/>
                <w:bCs/>
                <w:color w:val="000000"/>
                <w:sz w:val="24"/>
              </w:rPr>
            </w:pPr>
            <w:r>
              <w:rPr>
                <w:rFonts w:hint="eastAsia" w:ascii="仿宋_GB2312" w:hAnsi="仿宋_GB2312" w:cs="仿宋_GB2312"/>
                <w:b/>
                <w:bCs/>
                <w:color w:val="000000"/>
                <w:kern w:val="0"/>
                <w:sz w:val="24"/>
              </w:rPr>
              <w:t>参与县</w:t>
            </w:r>
          </w:p>
        </w:tc>
        <w:tc>
          <w:tcPr>
            <w:tcW w:w="1712" w:type="dxa"/>
            <w:noWrap w:val="0"/>
            <w:vAlign w:val="center"/>
          </w:tcPr>
          <w:p>
            <w:pPr>
              <w:spacing w:line="240" w:lineRule="auto"/>
              <w:ind w:firstLine="0" w:firstLineChars="0"/>
              <w:jc w:val="center"/>
              <w:textAlignment w:val="center"/>
              <w:rPr>
                <w:rFonts w:ascii="仿宋_GB2312" w:hAnsi="仿宋_GB2312" w:cs="仿宋_GB2312"/>
                <w:b/>
                <w:bCs/>
                <w:color w:val="000000"/>
                <w:sz w:val="24"/>
              </w:rPr>
            </w:pPr>
            <w:r>
              <w:rPr>
                <w:rFonts w:hint="eastAsia" w:ascii="仿宋_GB2312" w:hAnsi="仿宋_GB2312" w:cs="仿宋_GB2312"/>
                <w:b/>
                <w:bCs/>
                <w:color w:val="000000"/>
                <w:kern w:val="0"/>
                <w:sz w:val="24"/>
              </w:rPr>
              <w:t>主导产业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福建食用菌优势特色产业集群▲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古田县、屏南县</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食用菌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2</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福建生猪优势特色产业集群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蕉城区</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生猪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3</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福建红茶优势特色产业集群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福安市、寿宁县、周宁县、蕉城区</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红茶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617"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4</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福建白茶优势特色产业集群▲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福鼎市、福安市、柘荣县、周宁县、霞浦县、寿宁县、蕉城区</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白茶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5</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福建蜜柚优势特色产业集群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霞浦县</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水果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6</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福建葡萄优势特色产业集群▲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福安市、霞浦县、寿宁县、周宁县</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葡萄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617"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7</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闽东北高山蔬菜优势特色产业集群▲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周宁县、屏南县、寿宁县、政和县、蕉城区</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蔬菜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8</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福建中药材优势特色产业集群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柘荣县、福鼎市</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中药材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9</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福建鲍鱼优势特色产业集群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蕉城区</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鲍鱼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10</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福建大黄鱼优势特色产业集群▲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蕉城区、霞浦县、福鼎市、福安市</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大黄鱼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sz w:val="24"/>
              </w:rPr>
              <w:t>11</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福建海参优势特色产业集群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霞浦县</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海参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12</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福建石斑鱼优势特色产业集群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福鼎市</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石斑鱼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13</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福建海带优势特色产业集群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霞浦县</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海带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14</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福建紫菜优势特色产业集群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霞浦县、福鼎市</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紫菜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15</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福建河鲀优势特色产业集群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福安市</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河鲀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12" w:hRule="atLeast"/>
        </w:trPr>
        <w:tc>
          <w:tcPr>
            <w:tcW w:w="804" w:type="dxa"/>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16</w:t>
            </w:r>
          </w:p>
        </w:tc>
        <w:tc>
          <w:tcPr>
            <w:tcW w:w="4837" w:type="dxa"/>
            <w:gridSpan w:val="6"/>
            <w:noWrap w:val="0"/>
            <w:vAlign w:val="center"/>
          </w:tcPr>
          <w:p>
            <w:pPr>
              <w:spacing w:line="240" w:lineRule="auto"/>
              <w:ind w:firstLine="0" w:firstLineChars="0"/>
              <w:jc w:val="center"/>
              <w:textAlignment w:val="center"/>
              <w:rPr>
                <w:rFonts w:ascii="仿宋_GB2312" w:hAnsi="仿宋_GB2312" w:cs="仿宋_GB2312"/>
                <w:color w:val="000000"/>
                <w:kern w:val="0"/>
                <w:sz w:val="24"/>
              </w:rPr>
            </w:pPr>
            <w:r>
              <w:rPr>
                <w:rFonts w:hint="eastAsia" w:ascii="仿宋_GB2312" w:hAnsi="仿宋_GB2312" w:cs="仿宋_GB2312"/>
                <w:color w:val="000000"/>
                <w:kern w:val="0"/>
                <w:sz w:val="24"/>
              </w:rPr>
              <w:t>福建海洋捕捞优势特色产业集群</w:t>
            </w:r>
          </w:p>
        </w:tc>
        <w:tc>
          <w:tcPr>
            <w:tcW w:w="5922" w:type="dxa"/>
            <w:gridSpan w:val="4"/>
            <w:noWrap w:val="0"/>
            <w:vAlign w:val="center"/>
          </w:tcPr>
          <w:p>
            <w:pPr>
              <w:spacing w:line="240" w:lineRule="auto"/>
              <w:ind w:firstLine="0" w:firstLineChars="0"/>
              <w:jc w:val="center"/>
              <w:textAlignment w:val="center"/>
              <w:rPr>
                <w:rFonts w:ascii="仿宋_GB2312" w:hAnsi="仿宋_GB2312" w:cs="仿宋_GB2312"/>
                <w:color w:val="000000"/>
                <w:kern w:val="0"/>
                <w:sz w:val="24"/>
              </w:rPr>
            </w:pPr>
            <w:r>
              <w:rPr>
                <w:rFonts w:hint="eastAsia" w:ascii="仿宋_GB2312" w:hAnsi="仿宋_GB2312" w:cs="仿宋_GB2312"/>
                <w:color w:val="000000"/>
                <w:kern w:val="0"/>
                <w:sz w:val="24"/>
              </w:rPr>
              <w:t>霞浦县</w:t>
            </w:r>
          </w:p>
        </w:tc>
        <w:tc>
          <w:tcPr>
            <w:tcW w:w="1712" w:type="dxa"/>
            <w:noWrap w:val="0"/>
            <w:vAlign w:val="center"/>
          </w:tcPr>
          <w:p>
            <w:pPr>
              <w:spacing w:line="240" w:lineRule="auto"/>
              <w:ind w:firstLine="0" w:firstLineChars="0"/>
              <w:jc w:val="center"/>
              <w:textAlignment w:val="center"/>
              <w:rPr>
                <w:rFonts w:ascii="仿宋_GB2312" w:hAnsi="仿宋_GB2312" w:cs="仿宋_GB2312"/>
                <w:color w:val="000000"/>
                <w:kern w:val="0"/>
                <w:sz w:val="24"/>
              </w:rPr>
            </w:pPr>
            <w:r>
              <w:rPr>
                <w:rFonts w:hint="eastAsia" w:ascii="仿宋_GB2312" w:hAnsi="仿宋_GB2312" w:cs="仿宋_GB2312"/>
                <w:color w:val="000000"/>
                <w:kern w:val="0"/>
                <w:sz w:val="24"/>
              </w:rPr>
              <w:t>海洋捕捞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667" w:type="dxa"/>
          <w:trHeight w:val="444" w:hRule="atLeast"/>
        </w:trPr>
        <w:tc>
          <w:tcPr>
            <w:tcW w:w="13275" w:type="dxa"/>
            <w:gridSpan w:val="12"/>
            <w:noWrap w:val="0"/>
            <w:vAlign w:val="center"/>
          </w:tcPr>
          <w:p>
            <w:pPr>
              <w:spacing w:line="240" w:lineRule="auto"/>
              <w:ind w:firstLine="480"/>
              <w:jc w:val="center"/>
              <w:textAlignment w:val="center"/>
              <w:rPr>
                <w:rFonts w:ascii="仿宋_GB2312" w:hAnsi="仿宋_GB2312" w:cs="仿宋_GB2312"/>
                <w:color w:val="000000"/>
                <w:kern w:val="0"/>
                <w:sz w:val="24"/>
              </w:rPr>
            </w:pPr>
            <w:r>
              <w:rPr>
                <w:rFonts w:hint="eastAsia" w:ascii="仿宋_GB2312" w:hAnsi="仿宋_GB2312" w:cs="仿宋_GB2312"/>
                <w:color w:val="000000"/>
                <w:kern w:val="0"/>
                <w:sz w:val="24"/>
              </w:rPr>
              <w:t>标注▲，表示十四五时期争取建成优势特色产业集群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458" w:hRule="atLeast"/>
        </w:trPr>
        <w:tc>
          <w:tcPr>
            <w:tcW w:w="13560" w:type="dxa"/>
            <w:gridSpan w:val="13"/>
            <w:noWrap/>
            <w:vAlign w:val="center"/>
          </w:tcPr>
          <w:p>
            <w:pPr>
              <w:ind w:firstLine="602"/>
              <w:jc w:val="center"/>
              <w:textAlignment w:val="center"/>
              <w:rPr>
                <w:rFonts w:ascii="仿宋_GB2312" w:hAnsi="楷体_GB2312" w:cs="楷体_GB2312"/>
                <w:b/>
                <w:bCs/>
                <w:color w:val="000000"/>
                <w:sz w:val="30"/>
                <w:szCs w:val="30"/>
              </w:rPr>
            </w:pPr>
            <w:r>
              <w:rPr>
                <w:rFonts w:hint="eastAsia" w:ascii="仿宋_GB2312" w:hAnsi="楷体_GB2312" w:cs="楷体_GB2312"/>
                <w:b/>
                <w:bCs/>
                <w:color w:val="000000"/>
                <w:kern w:val="0"/>
                <w:sz w:val="30"/>
                <w:szCs w:val="30"/>
              </w:rPr>
              <w:t>宁德市十四五时期重点培育农业产业强镇名单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ign w:val="center"/>
          </w:tcPr>
          <w:p>
            <w:pPr>
              <w:spacing w:line="240" w:lineRule="auto"/>
              <w:ind w:firstLine="0" w:firstLineChars="0"/>
              <w:jc w:val="center"/>
              <w:textAlignment w:val="center"/>
              <w:rPr>
                <w:rFonts w:ascii="仿宋_GB2312" w:hAnsi="仿宋_GB2312" w:cs="仿宋_GB2312"/>
                <w:b/>
                <w:bCs/>
                <w:color w:val="000000"/>
                <w:sz w:val="24"/>
              </w:rPr>
            </w:pPr>
            <w:r>
              <w:rPr>
                <w:rFonts w:hint="eastAsia" w:ascii="仿宋_GB2312" w:hAnsi="仿宋_GB2312" w:cs="仿宋_GB2312"/>
                <w:b/>
                <w:bCs/>
                <w:color w:val="000000"/>
                <w:kern w:val="0"/>
                <w:sz w:val="24"/>
              </w:rPr>
              <w:t>序号</w:t>
            </w:r>
          </w:p>
        </w:tc>
        <w:tc>
          <w:tcPr>
            <w:tcW w:w="5837" w:type="dxa"/>
            <w:gridSpan w:val="5"/>
            <w:noWrap/>
            <w:vAlign w:val="center"/>
          </w:tcPr>
          <w:p>
            <w:pPr>
              <w:spacing w:line="240" w:lineRule="auto"/>
              <w:ind w:firstLine="0" w:firstLineChars="0"/>
              <w:jc w:val="center"/>
              <w:textAlignment w:val="center"/>
              <w:rPr>
                <w:rFonts w:ascii="仿宋_GB2312" w:hAnsi="仿宋_GB2312" w:cs="仿宋_GB2312"/>
                <w:b/>
                <w:bCs/>
                <w:color w:val="000000"/>
                <w:sz w:val="24"/>
              </w:rPr>
            </w:pPr>
            <w:r>
              <w:rPr>
                <w:rFonts w:hint="eastAsia" w:ascii="仿宋_GB2312" w:hAnsi="仿宋_GB2312" w:cs="仿宋_GB2312"/>
                <w:b/>
                <w:bCs/>
                <w:color w:val="000000"/>
                <w:kern w:val="0"/>
                <w:sz w:val="24"/>
              </w:rPr>
              <w:t>产业强镇</w:t>
            </w:r>
          </w:p>
        </w:tc>
        <w:tc>
          <w:tcPr>
            <w:tcW w:w="5410" w:type="dxa"/>
            <w:gridSpan w:val="4"/>
            <w:noWrap/>
            <w:vAlign w:val="center"/>
          </w:tcPr>
          <w:p>
            <w:pPr>
              <w:spacing w:line="240" w:lineRule="auto"/>
              <w:ind w:firstLine="0" w:firstLineChars="0"/>
              <w:jc w:val="center"/>
              <w:textAlignment w:val="center"/>
              <w:rPr>
                <w:rFonts w:ascii="仿宋_GB2312" w:hAnsi="仿宋_GB2312" w:cs="仿宋_GB2312"/>
                <w:b/>
                <w:bCs/>
                <w:color w:val="000000"/>
                <w:sz w:val="24"/>
              </w:rPr>
            </w:pPr>
            <w:r>
              <w:rPr>
                <w:rFonts w:hint="eastAsia" w:ascii="仿宋_GB2312" w:hAnsi="仿宋_GB2312" w:cs="仿宋_GB2312"/>
                <w:b/>
                <w:bCs/>
                <w:color w:val="000000"/>
                <w:kern w:val="0"/>
                <w:sz w:val="24"/>
              </w:rPr>
              <w:t>主导产业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福鼎市点头镇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2</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福鼎市磻溪镇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3</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福鼎市贯岭镇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栀子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4</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福鼎市沙埕镇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海洋捕捞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5</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福鼎市太姥山镇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水产加工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6</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福鼎市店下镇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梭子蟹、鲈鱼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7</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福鼎市白琳镇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8</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霞浦县三沙镇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海产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9</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霞浦县长春镇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海带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10</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霞浦县溪南镇▲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海参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11</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霞浦县下浒镇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海带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12</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霞浦县沙江镇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柚子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13</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霞浦县沙江镇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剑蛏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14</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霞浦县水门乡</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15</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福安市社口镇▲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16</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福安市赛岐镇▲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葡萄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17</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福安市穆云畲族乡▲</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水蜜桃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18</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福安市溪潭镇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脐橙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07"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19</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福安市潭头镇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芙蓉李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37"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20</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福安市松罗乡</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葡萄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21</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蕉城区赤溪镇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97" w:hRule="exact"/>
        </w:trPr>
        <w:tc>
          <w:tcPr>
            <w:tcW w:w="2313" w:type="dxa"/>
            <w:gridSpan w:val="4"/>
            <w:noWrap/>
            <w:vAlign w:val="center"/>
          </w:tcPr>
          <w:p>
            <w:pPr>
              <w:spacing w:line="240" w:lineRule="auto"/>
              <w:ind w:firstLine="0" w:firstLineChars="0"/>
              <w:jc w:val="center"/>
              <w:textAlignment w:val="center"/>
              <w:rPr>
                <w:rFonts w:ascii="仿宋_GB2312" w:hAnsi="仿宋_GB2312" w:cs="仿宋_GB2312"/>
                <w:b/>
                <w:bCs/>
                <w:color w:val="000000"/>
                <w:sz w:val="24"/>
              </w:rPr>
            </w:pPr>
            <w:r>
              <w:rPr>
                <w:rFonts w:hint="eastAsia" w:ascii="仿宋_GB2312" w:hAnsi="仿宋_GB2312" w:cs="仿宋_GB2312"/>
                <w:b/>
                <w:bCs/>
                <w:color w:val="000000"/>
                <w:kern w:val="0"/>
                <w:sz w:val="24"/>
              </w:rPr>
              <w:t>序号</w:t>
            </w:r>
          </w:p>
        </w:tc>
        <w:tc>
          <w:tcPr>
            <w:tcW w:w="5837" w:type="dxa"/>
            <w:gridSpan w:val="5"/>
            <w:noWrap/>
            <w:vAlign w:val="center"/>
          </w:tcPr>
          <w:p>
            <w:pPr>
              <w:spacing w:line="240" w:lineRule="auto"/>
              <w:ind w:firstLine="0" w:firstLineChars="0"/>
              <w:jc w:val="center"/>
              <w:textAlignment w:val="center"/>
              <w:rPr>
                <w:rFonts w:ascii="仿宋_GB2312" w:hAnsi="仿宋_GB2312" w:cs="仿宋_GB2312"/>
                <w:b/>
                <w:bCs/>
                <w:color w:val="000000"/>
                <w:sz w:val="24"/>
              </w:rPr>
            </w:pPr>
            <w:r>
              <w:rPr>
                <w:rFonts w:hint="eastAsia" w:ascii="仿宋_GB2312" w:hAnsi="仿宋_GB2312" w:cs="仿宋_GB2312"/>
                <w:b/>
                <w:bCs/>
                <w:color w:val="000000"/>
                <w:kern w:val="0"/>
                <w:sz w:val="24"/>
              </w:rPr>
              <w:t>产业强镇</w:t>
            </w:r>
          </w:p>
        </w:tc>
        <w:tc>
          <w:tcPr>
            <w:tcW w:w="5410" w:type="dxa"/>
            <w:gridSpan w:val="4"/>
            <w:noWrap/>
            <w:vAlign w:val="center"/>
          </w:tcPr>
          <w:p>
            <w:pPr>
              <w:spacing w:line="240" w:lineRule="auto"/>
              <w:ind w:firstLine="0" w:firstLineChars="0"/>
              <w:jc w:val="center"/>
              <w:textAlignment w:val="center"/>
              <w:rPr>
                <w:rFonts w:ascii="仿宋_GB2312" w:hAnsi="仿宋_GB2312" w:cs="仿宋_GB2312"/>
                <w:b/>
                <w:bCs/>
                <w:color w:val="000000"/>
                <w:sz w:val="24"/>
              </w:rPr>
            </w:pPr>
            <w:r>
              <w:rPr>
                <w:rFonts w:hint="eastAsia" w:ascii="仿宋_GB2312" w:hAnsi="仿宋_GB2312" w:cs="仿宋_GB2312"/>
                <w:b/>
                <w:bCs/>
                <w:color w:val="000000"/>
                <w:kern w:val="0"/>
                <w:sz w:val="24"/>
              </w:rPr>
              <w:t>主导产业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22</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蕉城区飞鸾镇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大黄鱼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23</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蕉城区三都镇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大黄鱼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24</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蕉城区霍童镇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柑橘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25</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蕉城区八都镇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柑橘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26</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蕉城区洋中镇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27</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柘荣县城郊乡▲</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太子参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28</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柘荣县乍洋乡</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29</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柘荣县英山乡</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30</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柘荣县东源乡</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食用菌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31</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屏南县甘棠乡▲</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水果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32</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屏南县棠口镇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蔬菜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33</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屏南县岭下乡</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高山蔬菜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34</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周宁县浦源镇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35</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周宁县纯池镇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葡萄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36</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周宁县玛坑乡</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37</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古田县凤埔乡</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食用菌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38</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古田县黄田镇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马蹄笋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39</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寿宁县凤阳镇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葡萄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62" w:hRule="atLeast"/>
        </w:trPr>
        <w:tc>
          <w:tcPr>
            <w:tcW w:w="2313"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40</w:t>
            </w:r>
          </w:p>
        </w:tc>
        <w:tc>
          <w:tcPr>
            <w:tcW w:w="5837" w:type="dxa"/>
            <w:gridSpan w:val="5"/>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寿宁县武曲镇</w:t>
            </w:r>
          </w:p>
        </w:tc>
        <w:tc>
          <w:tcPr>
            <w:tcW w:w="5410" w:type="dxa"/>
            <w:gridSpan w:val="4"/>
            <w:noWrap w:val="0"/>
            <w:vAlign w:val="center"/>
          </w:tcPr>
          <w:p>
            <w:pPr>
              <w:spacing w:line="240" w:lineRule="auto"/>
              <w:ind w:firstLine="0" w:firstLineChars="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柑橘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2" w:type="dxa"/>
          <w:trHeight w:val="373" w:hRule="atLeast"/>
        </w:trPr>
        <w:tc>
          <w:tcPr>
            <w:tcW w:w="13560" w:type="dxa"/>
            <w:gridSpan w:val="13"/>
            <w:noWrap/>
            <w:vAlign w:val="center"/>
          </w:tcPr>
          <w:p>
            <w:pPr>
              <w:spacing w:line="240" w:lineRule="auto"/>
              <w:ind w:firstLine="480"/>
              <w:jc w:val="center"/>
              <w:textAlignment w:val="center"/>
              <w:rPr>
                <w:rFonts w:ascii="仿宋_GB2312" w:hAnsi="仿宋_GB2312" w:cs="仿宋_GB2312"/>
                <w:color w:val="000000"/>
                <w:sz w:val="24"/>
              </w:rPr>
            </w:pPr>
            <w:r>
              <w:rPr>
                <w:rFonts w:hint="eastAsia" w:ascii="仿宋_GB2312" w:hAnsi="仿宋_GB2312" w:cs="仿宋_GB2312"/>
                <w:color w:val="000000"/>
                <w:kern w:val="0"/>
                <w:sz w:val="24"/>
              </w:rPr>
              <w:t>标注▲，表示已获批国家级农业产业强镇。</w:t>
            </w:r>
          </w:p>
        </w:tc>
      </w:tr>
    </w:tbl>
    <w:p>
      <w:pPr>
        <w:ind w:firstLine="0" w:firstLineChars="0"/>
        <w:rPr>
          <w:color w:val="000000"/>
        </w:rPr>
      </w:pPr>
    </w:p>
    <w:p>
      <w:pPr>
        <w:ind w:firstLine="640"/>
        <w:sectPr>
          <w:headerReference r:id="rId12" w:type="default"/>
          <w:footerReference r:id="rId13" w:type="default"/>
          <w:footerReference r:id="rId14" w:type="even"/>
          <w:pgSz w:w="16838" w:h="11906" w:orient="landscape"/>
          <w:pgMar w:top="1588" w:right="2098" w:bottom="1417" w:left="1587" w:header="851" w:footer="1361" w:gutter="0"/>
          <w:pgNumType w:fmt="decimal"/>
          <w:cols w:space="720" w:num="1"/>
          <w:docGrid w:type="linesAndChars" w:linePitch="634" w:charSpace="-3885"/>
        </w:sectPr>
      </w:pPr>
      <w:bookmarkStart w:id="1007" w:name="_GoBack"/>
      <w:bookmarkEnd w:id="1007"/>
    </w:p>
    <w:p>
      <w:pPr>
        <w:pStyle w:val="2"/>
      </w:pPr>
    </w:p>
    <w:p>
      <w:pPr>
        <w:snapToGrid w:val="0"/>
        <w:spacing w:line="560" w:lineRule="exact"/>
        <w:ind w:right="24"/>
        <w:rPr>
          <w:rFonts w:hint="eastAsia" w:ascii="仿宋_GB2312"/>
          <w:spacing w:val="-6"/>
        </w:rPr>
      </w:pPr>
    </w:p>
    <w:p>
      <w:pPr>
        <w:snapToGrid w:val="0"/>
        <w:spacing w:line="560" w:lineRule="exact"/>
        <w:ind w:right="24"/>
        <w:rPr>
          <w:rFonts w:hint="eastAsia" w:ascii="仿宋_GB2312"/>
          <w:spacing w:val="-6"/>
        </w:rPr>
      </w:pPr>
    </w:p>
    <w:p>
      <w:pPr>
        <w:snapToGrid w:val="0"/>
        <w:spacing w:line="560" w:lineRule="exact"/>
        <w:ind w:right="24"/>
        <w:rPr>
          <w:rFonts w:hint="eastAsia" w:ascii="仿宋_GB2312"/>
          <w:spacing w:val="-6"/>
        </w:rPr>
      </w:pPr>
    </w:p>
    <w:p>
      <w:pPr>
        <w:wordWrap w:val="0"/>
        <w:snapToGrid w:val="0"/>
        <w:spacing w:line="240" w:lineRule="auto"/>
        <w:ind w:right="23"/>
        <w:jc w:val="right"/>
        <w:rPr>
          <w:rFonts w:hint="eastAsia" w:ascii="仿宋_GB2312"/>
          <w:spacing w:val="-6"/>
        </w:rPr>
      </w:pPr>
      <w:r>
        <w:drawing>
          <wp:anchor distT="0" distB="0" distL="114300" distR="114300" simplePos="0" relativeHeight="251669504" behindDoc="0" locked="0" layoutInCell="1" allowOverlap="1">
            <wp:simplePos x="0" y="0"/>
            <wp:positionH relativeFrom="margin">
              <wp:posOffset>3813810</wp:posOffset>
            </wp:positionH>
            <wp:positionV relativeFrom="margin">
              <wp:posOffset>8323580</wp:posOffset>
            </wp:positionV>
            <wp:extent cx="1841500" cy="457200"/>
            <wp:effectExtent l="0" t="0" r="6350" b="0"/>
            <wp:wrapNone/>
            <wp:docPr id="11" name="图片 248" descr="http://10.64.28.11:6888/lw-zwbg-cloud//core/upload/2022/01/10/20220110093951344.bmp"/>
            <wp:cNvGraphicFramePr/>
            <a:graphic xmlns:a="http://schemas.openxmlformats.org/drawingml/2006/main">
              <a:graphicData uri="http://schemas.openxmlformats.org/drawingml/2006/picture">
                <pic:pic xmlns:pic="http://schemas.openxmlformats.org/drawingml/2006/picture">
                  <pic:nvPicPr>
                    <pic:cNvPr id="11" name="图片 248" descr="http://10.64.28.11:6888/lw-zwbg-cloud//core/upload/2022/01/10/20220110093951344.bmp"/>
                    <pic:cNvPicPr/>
                  </pic:nvPicPr>
                  <pic:blipFill>
                    <a:blip r:embed="rId19" r:link="rId20"/>
                    <a:stretch>
                      <a:fillRect/>
                    </a:stretch>
                  </pic:blipFill>
                  <pic:spPr>
                    <a:xfrm>
                      <a:off x="0" y="0"/>
                      <a:ext cx="1841500" cy="457200"/>
                    </a:xfrm>
                    <a:prstGeom prst="rect">
                      <a:avLst/>
                    </a:prstGeom>
                    <a:noFill/>
                    <a:ln>
                      <a:noFill/>
                    </a:ln>
                  </pic:spPr>
                </pic:pic>
              </a:graphicData>
            </a:graphic>
          </wp:anchor>
        </w:drawing>
      </w:r>
      <w:r>
        <w:rPr>
          <w:rFonts w:hint="eastAsia" w:ascii="仿宋_GB2312"/>
          <w:spacing w:val="-6"/>
        </w:rPr>
        <w:t>　　　</w:t>
      </w:r>
    </w:p>
    <w:p>
      <w:pPr>
        <w:snapToGrid w:val="0"/>
        <w:spacing w:line="560" w:lineRule="exact"/>
        <w:ind w:right="24"/>
        <w:rPr>
          <w:rFonts w:hint="eastAsia"/>
        </w:rPr>
      </w:pPr>
      <w:r>
        <w:rPr>
          <w:sz w:val="20"/>
        </w:rPr>
        <mc:AlternateContent>
          <mc:Choice Requires="wps">
            <w:drawing>
              <wp:anchor distT="0" distB="0" distL="114300" distR="114300" simplePos="0" relativeHeight="251665408" behindDoc="0" locked="0" layoutInCell="1" allowOverlap="1">
                <wp:simplePos x="0" y="0"/>
                <wp:positionH relativeFrom="column">
                  <wp:posOffset>35560</wp:posOffset>
                </wp:positionH>
                <wp:positionV relativeFrom="page">
                  <wp:posOffset>9227185</wp:posOffset>
                </wp:positionV>
                <wp:extent cx="5618480" cy="0"/>
                <wp:effectExtent l="0" t="0" r="0" b="0"/>
                <wp:wrapNone/>
                <wp:docPr id="7" name="直接连接符 7"/>
                <wp:cNvGraphicFramePr/>
                <a:graphic xmlns:a="http://schemas.openxmlformats.org/drawingml/2006/main">
                  <a:graphicData uri="http://schemas.microsoft.com/office/word/2010/wordprocessingShape">
                    <wps:wsp>
                      <wps:cNvSpPr/>
                      <wps:spPr>
                        <a:xfrm>
                          <a:off x="0" y="0"/>
                          <a:ext cx="5618480" cy="0"/>
                        </a:xfrm>
                        <a:prstGeom prst="line">
                          <a:avLst/>
                        </a:prstGeom>
                        <a:ln w="3175"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2.8pt;margin-top:726.55pt;height:0pt;width:442.4pt;mso-position-vertical-relative:page;z-index:251665408;mso-width-relative:page;mso-height-relative:page;" filled="f" stroked="t" coordsize="21600,21600" o:gfxdata="UEsDBAoAAAAAAIdO4kAAAAAAAAAAAAAAAAAEAAAAZHJzL1BLAwQUAAAACACHTuJA4OuxRdgAAAAL&#10;AQAADwAAAGRycy9kb3ducmV2LnhtbE2PwU7DMAyG70i8Q2QkbiwpbNUoTSe1gsMOIG1DAm5ZY9qK&#10;xilNuo23xxwQHP370+/P+erkenHAMXSeNCQzBQKp9rajRsPz7uFqCSJEQ9b0nlDDFwZYFednucms&#10;P9IGD9vYCC6hkBkNbYxDJmWoW3QmzPyAxLt3PzoTeRwbaUdz5HLXy2ulUulMR3yhNQNWLdYf28lp&#10;iOHl9SlO688yLR8r3JVv1b1ca315kag7EBFP8Q+GH31Wh4Kd9n4iG0SvYZEyyPF8cZOAYGB5q+Yg&#10;9r+RLHL5/4fiG1BLAwQUAAAACACHTuJAHR3kXfoBAADuAwAADgAAAGRycy9lMm9Eb2MueG1srVPN&#10;bhMxEL4j8Q6W72STQttolU0PhHJBUKnwABPbu2vJf/I42eQleAEkbnDiyJ23oTwGY2+aQrnkwB68&#10;Y8/MN/N9Hi+udtawrYqovWv4bDLlTDnhpXZdwz+8v3425wwTOAnGO9XwvUJ+tXz6ZDGEWp353hup&#10;IiMQh/UQGt6nFOqqQtErCzjxQTlytj5aSLSNXSUjDIRuTXU2nV5Ug48yRC8UIp2uRic/IMZTAH3b&#10;aqFWXmyscmlEjcpAIkrY64B8WbptWyXSu7ZFlZhpODFNZaUiZK/zWi0XUHcRQq/FoQU4pYVHnCxo&#10;R0WPUCtIwDZR/wNltYgefZsmwttqJFIUIRaz6SNtbnsIqnAhqTEcRcf/Byvebm8i07Lhl5w5sHTh&#10;d5++//z45dePz7TeffvKLrNIQ8CaYm/DTTzskMzMeNdGm//Ehe2KsPujsGqXmKDD84vZ/MWcNBf3&#10;vuohMURMr5W3LBsNN9plzlDD9g0mKkah9yH52Dg2NPz57PKc4IAGsKWLJ9MGIoGuK7nojZbX2pic&#10;gbFbvzSRbSEPQfkyJcL9KywXWQH2Y1xxjeMR/cZJSoC6VyBfOcnSPpBQjt4Hz81YJTkzip5Ttkpk&#10;Am1OiaQmjKNesr6jotlae7mna9mEqLueNJmVfrOHxqB0fhjZPGd/7gvSwzN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g67FF2AAAAAsBAAAPAAAAAAAAAAEAIAAAACIAAABkcnMvZG93bnJldi54&#10;bWxQSwECFAAUAAAACACHTuJAHR3kXfoBAADuAwAADgAAAAAAAAABACAAAAAnAQAAZHJzL2Uyb0Rv&#10;Yy54bWxQSwUGAAAAAAYABgBZAQAAkwUAAAAA&#10;">
                <v:fill on="f" focussize="0,0"/>
                <v:stroke weight="0.25pt" color="#000000" joinstyle="round"/>
                <v:imagedata o:title=""/>
                <o:lock v:ext="edit" aspectratio="f"/>
              </v:line>
            </w:pict>
          </mc:Fallback>
        </mc:AlternateContent>
      </w:r>
      <w:r>
        <w:rPr>
          <w:sz w:val="20"/>
        </w:rPr>
        <mc:AlternateContent>
          <mc:Choice Requires="wps">
            <w:drawing>
              <wp:anchor distT="0" distB="0" distL="114300" distR="114300" simplePos="0" relativeHeight="251667456" behindDoc="0" locked="0" layoutInCell="1" allowOverlap="1">
                <wp:simplePos x="0" y="0"/>
                <wp:positionH relativeFrom="column">
                  <wp:posOffset>23495</wp:posOffset>
                </wp:positionH>
                <wp:positionV relativeFrom="page">
                  <wp:posOffset>8095615</wp:posOffset>
                </wp:positionV>
                <wp:extent cx="5601970" cy="635"/>
                <wp:effectExtent l="0" t="0" r="0" b="0"/>
                <wp:wrapNone/>
                <wp:docPr id="9" name="chaosongline"/>
                <wp:cNvGraphicFramePr/>
                <a:graphic xmlns:a="http://schemas.openxmlformats.org/drawingml/2006/main">
                  <a:graphicData uri="http://schemas.microsoft.com/office/word/2010/wordprocessingShape">
                    <wps:wsp>
                      <wps:cNvSpPr/>
                      <wps:spPr>
                        <a:xfrm>
                          <a:off x="0" y="0"/>
                          <a:ext cx="5601970"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chaosongline" o:spid="_x0000_s1026" o:spt="20" style="position:absolute;left:0pt;margin-left:1.85pt;margin-top:637.45pt;height:0.05pt;width:441.1pt;mso-position-vertical-relative:page;z-index:251667456;mso-width-relative:page;mso-height-relative:page;" filled="f" stroked="t" coordsize="21600,21600" o:gfxdata="UEsDBAoAAAAAAIdO4kAAAAAAAAAAAAAAAAAEAAAAZHJzL1BLAwQUAAAACACHTuJASNPCbNoAAAAL&#10;AQAADwAAAGRycy9kb3ducmV2LnhtbE2PQU/DMAyF70j8h8hI3FiywbZSmk5qBYcdmMSGBNyyxrQV&#10;jVOadBv/HsMFbvZ7T8+fs9XJdeKAQ2g9aZhOFAikytuWag3Pu4erBESIhqzpPKGGLwywys/PMpNa&#10;f6QnPGxjLbiEQmo0NDH2qZShatCZMPE9EnvvfnAm8jrU0g7myOWukzOlFtKZlvhCY3osG6w+tqPT&#10;EMPL6yaO689iUTyWuCveynu51vryYqruQEQ8xb8w/OAzOuTMtPcj2SA6DddLDrI8W97cguBAksx5&#10;2P9KcwUyz+T/H/JvUEsDBBQAAAAIAIdO4kC7TKGn3gEAAOEDAAAOAAAAZHJzL2Uyb0RvYy54bWyt&#10;U01v2zAMvQ/YfxB0X2y3SLoacXpo1l2GrUC3H8BIsi1AXxCVOPn3o+Qs3bpLDvVBpkTqke+RWj8c&#10;rWEHFVF71/FmUXOmnPBSu6Hjv34+ffrMGSZwEox3quMnhfxh8/HDegqtuvGjN1JFRiAO2yl0fEwp&#10;tFWFYlQWcOGDcuTsfbSQaBuHSkaYCN2a6qauV9XkowzRC4VIp9vZyc+I8RpA3/daqK0Xe6tcmlGj&#10;MpCIEo46IN+UavteifSj71ElZjpOTFNZKQnZu7xWmzW0Q4QwanEuAa4p4Q0nC9pR0gvUFhKwfdT/&#10;QVktokffp4XwtpqJFEWIRVO/0eZlhKAKF5Iaw0V0fD9Y8f3wHJmWHb/nzIGlhosRqEI3GO1U1mcK&#10;2FLYS3iO5x2Smcke+2jzn2iwY9H0dNFUHRMTdLhc1c39HcktyLe6XWbE6vVqiJi+Km9ZNjpecmZI&#10;OHzDNIf+CcnHxrGp47fN3ZIAgaavp66TaQMxQDeUHqA3Wj5pY/INjMPu0UR2gDwB5TuX8E9YTrIF&#10;HOe44sph0I4K5BcnWToF0sbRk+C5BKskZ0bRC8pWiUygzTWRxN44EiHrOiuZrZ2XJ+rEPkQ9jKRE&#10;U6rMHup8kew8pXm0/t4XpNeXuf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NPCbNoAAAALAQAA&#10;DwAAAAAAAAABACAAAAAiAAAAZHJzL2Rvd25yZXYueG1sUEsBAhQAFAAAAAgAh07iQLtMoafeAQAA&#10;4QMAAA4AAAAAAAAAAQAgAAAAKQEAAGRycy9lMm9Eb2MueG1sUEsFBgAAAAAGAAYAWQEAAHkFAAAA&#10;AA==&#10;">
                <v:fill on="f" focussize="0,0"/>
                <v:stroke weight="0.25pt" color="#000000" joinstyle="round"/>
                <v:imagedata o:title=""/>
                <o:lock v:ext="edit" aspectratio="f"/>
              </v:line>
            </w:pict>
          </mc:Fallback>
        </mc:AlternateContent>
      </w:r>
      <w:r>
        <w:rPr>
          <w:sz w:val="20"/>
        </w:rPr>
        <mc:AlternateContent>
          <mc:Choice Requires="wps">
            <w:drawing>
              <wp:anchor distT="0" distB="0" distL="114300" distR="114300" simplePos="0" relativeHeight="251666432" behindDoc="0" locked="0" layoutInCell="1" allowOverlap="1">
                <wp:simplePos x="0" y="0"/>
                <wp:positionH relativeFrom="column">
                  <wp:posOffset>6985</wp:posOffset>
                </wp:positionH>
                <wp:positionV relativeFrom="page">
                  <wp:posOffset>8103235</wp:posOffset>
                </wp:positionV>
                <wp:extent cx="5644515" cy="1117600"/>
                <wp:effectExtent l="0" t="0" r="0" b="0"/>
                <wp:wrapNone/>
                <wp:docPr id="8" name="chaosong"/>
                <wp:cNvGraphicFramePr/>
                <a:graphic xmlns:a="http://schemas.openxmlformats.org/drawingml/2006/main">
                  <a:graphicData uri="http://schemas.microsoft.com/office/word/2010/wordprocessingShape">
                    <wps:wsp>
                      <wps:cNvSpPr txBox="1"/>
                      <wps:spPr>
                        <a:xfrm>
                          <a:off x="0" y="0"/>
                          <a:ext cx="5644515" cy="1117600"/>
                        </a:xfrm>
                        <a:prstGeom prst="rect">
                          <a:avLst/>
                        </a:prstGeom>
                        <a:solidFill>
                          <a:srgbClr val="FFFFFF">
                            <a:alpha val="0"/>
                          </a:srgbClr>
                        </a:solidFill>
                        <a:ln>
                          <a:noFill/>
                        </a:ln>
                      </wps:spPr>
                      <wps:txbx>
                        <w:txbxContent>
                          <w:p>
                            <w:pPr>
                              <w:pStyle w:val="8"/>
                              <w:pBdr>
                                <w:top w:val="none" w:color="auto" w:sz="0" w:space="0"/>
                              </w:pBdr>
                              <w:ind w:firstLine="313" w:firstLineChars="112"/>
                              <w:rPr>
                                <w:rFonts w:hint="eastAsia"/>
                                <w:sz w:val="28"/>
                                <w:szCs w:val="28"/>
                                <w:lang w:eastAsia="zh-CN"/>
                              </w:rPr>
                            </w:pPr>
                            <w:r>
                              <w:rPr>
                                <w:rFonts w:hint="eastAsia"/>
                                <w:sz w:val="28"/>
                                <w:szCs w:val="28"/>
                              </w:rPr>
                              <w:t>抄送</w:t>
                            </w:r>
                            <w:r>
                              <w:rPr>
                                <w:rFonts w:hint="eastAsia" w:ascii="仿宋_GB2312"/>
                                <w:spacing w:val="-6"/>
                              </w:rPr>
                              <w:t>：</w:t>
                            </w:r>
                            <w:bookmarkStart w:id="1005" w:name="copydelivery"/>
                            <w:r>
                              <w:rPr>
                                <w:rFonts w:hint="eastAsia"/>
                                <w:sz w:val="28"/>
                                <w:szCs w:val="28"/>
                                <w:lang w:eastAsia="zh-CN"/>
                              </w:rPr>
                              <w:t>市委各部门，宁德军分区，各人民团体。</w:t>
                            </w:r>
                          </w:p>
                          <w:p>
                            <w:pPr>
                              <w:pStyle w:val="8"/>
                              <w:pBdr>
                                <w:top w:val="none" w:color="auto" w:sz="0" w:space="0"/>
                              </w:pBdr>
                              <w:ind w:firstLine="280" w:firstLineChars="100"/>
                              <w:rPr>
                                <w:rFonts w:hint="eastAsia"/>
                                <w:spacing w:val="-11"/>
                                <w:sz w:val="28"/>
                                <w:szCs w:val="28"/>
                                <w:lang w:eastAsia="zh-CN"/>
                              </w:rPr>
                            </w:pPr>
                            <w:r>
                              <w:rPr>
                                <w:rFonts w:hint="eastAsia"/>
                                <w:sz w:val="28"/>
                                <w:szCs w:val="28"/>
                                <w:lang w:eastAsia="zh-CN"/>
                              </w:rPr>
                              <w:t>　　　</w:t>
                            </w:r>
                            <w:r>
                              <w:rPr>
                                <w:rFonts w:hint="eastAsia"/>
                                <w:spacing w:val="-11"/>
                                <w:sz w:val="28"/>
                                <w:szCs w:val="28"/>
                                <w:lang w:eastAsia="zh-CN"/>
                              </w:rPr>
                              <w:t>市人大常委会办公室，市政协办公室，市监委，市法院，市检察院。</w:t>
                            </w:r>
                          </w:p>
                          <w:p>
                            <w:pPr>
                              <w:pStyle w:val="8"/>
                              <w:pBdr>
                                <w:top w:val="none" w:color="auto" w:sz="0" w:space="0"/>
                              </w:pBdr>
                              <w:ind w:firstLine="280" w:firstLineChars="100"/>
                              <w:rPr>
                                <w:rFonts w:hint="eastAsia"/>
                                <w:sz w:val="28"/>
                                <w:szCs w:val="28"/>
                              </w:rPr>
                            </w:pPr>
                            <w:r>
                              <w:rPr>
                                <w:rFonts w:hint="eastAsia"/>
                                <w:sz w:val="28"/>
                                <w:szCs w:val="28"/>
                                <w:lang w:eastAsia="zh-CN"/>
                              </w:rPr>
                              <w:t>　　　各民主党派，市工商联。</w:t>
                            </w:r>
                            <w:bookmarkEnd w:id="1005"/>
                          </w:p>
                          <w:p>
                            <w:pPr>
                              <w:pBdr>
                                <w:top w:val="none" w:color="auto" w:sz="0" w:space="0"/>
                              </w:pBdr>
                              <w:spacing w:line="560" w:lineRule="exact"/>
                              <w:rPr>
                                <w:rFonts w:ascii="仿宋_GB2312"/>
                                <w:color w:val="000000"/>
                              </w:rPr>
                            </w:pPr>
                          </w:p>
                        </w:txbxContent>
                      </wps:txbx>
                      <wps:bodyPr vert="horz" wrap="square" lIns="0" tIns="0" rIns="0" bIns="0" anchor="t" anchorCtr="0" upright="1"/>
                    </wps:wsp>
                  </a:graphicData>
                </a:graphic>
              </wp:anchor>
            </w:drawing>
          </mc:Choice>
          <mc:Fallback>
            <w:pict>
              <v:shape id="chaosong" o:spid="_x0000_s1026" o:spt="202" type="#_x0000_t202" style="position:absolute;left:0pt;margin-left:0.55pt;margin-top:638.05pt;height:88pt;width:444.45pt;mso-position-vertical-relative:page;z-index:251666432;mso-width-relative:page;mso-height-relative:page;" fillcolor="#FFFFFF" filled="t" stroked="f" coordsize="21600,21600" o:gfxdata="UEsDBAoAAAAAAIdO4kAAAAAAAAAAAAAAAAAEAAAAZHJzL1BLAwQUAAAACACHTuJAmHZH39UAAAAL&#10;AQAADwAAAGRycy9kb3ducmV2LnhtbE1PTU/DMAy9I/EfIiNxY0kLbF1pOokhuCIK0q5Z4zVVG6dq&#10;sg/+PeYEJ/vZT++j2lz8KE44xz6QhmyhQCC1wfbUafj6fL0rQMRkyJoxEGr4xgib+vqqMqUNZ/rA&#10;U5M6wSIUS6PBpTSVUsbWoTdxESYk/h3C7E1iOHfSzubM4n6UuVJL6U1P7ODMhFuH7dAcvYb793y1&#10;i2/Ny3ba4Xoo4vNwIKf17U2mnkAkvKQ/MvzG5+hQc6Z9OJKNYmScMZFHvlryxoRirbjcnk8Pj3kG&#10;sq7k/w71D1BLAwQUAAAACACHTuJAzkyY1ukBAADpAwAADgAAAGRycy9lMm9Eb2MueG1srVNNb9sw&#10;DL0P2H8QdF9sF002BHEKtEGGAcM2oN0PUGTZFqCvkUrs7NePkuN06y491AeZoqhHvkdqczdaw04K&#10;UHtX82pRcqac9I12Xc1/Pu0/fOIMo3CNMN6pmp8V8rvt+3ebIazVje+9aRQwAnG4HkLN+xjDuihQ&#10;9soKXPigHB22HqyItIWuaEAMhG5NcVOWq2Lw0ATwUiGSdzcd8gsivAbQt62Waufl0SoXJ1RQRkSi&#10;hL0OyLe52rZVMn5vW1SRmZoT05hXSkL2Ia3FdiPWHYjQa3kpQbymhBecrNCOkl6hdiIKdgT9H5TV&#10;Ejz6Ni6kt8VEJCtCLKryhTaPvQgqcyGpMVxFx7eDld9OP4DppubUdicsNVz2gip0XdJmCLimkMdA&#10;QXG89yNNzOxHcibKYws2/YkMo3NS9nxVVo2RSXIuV7e3y2rJmaSzqqo+rsqsffF8PQDGz8pbloya&#10;A7UuKypOXzFSKRQ6h6Rs6I1u9tqYvIHu8GCAnQS1eZ+/6a4JvZi8czqcQjPePxjGJSTnE+aULnmK&#10;pMDENFlxPIwXWQ6+OZMq9JKo2t7Db84GmqOa46+jAMWZ+eKoUWnoZgNm4zAbwkm6WvPI2WQ+xGk4&#10;jwF01xNyljtXQROQq75Maxqxv/e51ucXuv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HZH39UA&#10;AAALAQAADwAAAAAAAAABACAAAAAiAAAAZHJzL2Rvd25yZXYueG1sUEsBAhQAFAAAAAgAh07iQM5M&#10;mNbpAQAA6QMAAA4AAAAAAAAAAQAgAAAAJAEAAGRycy9lMm9Eb2MueG1sUEsFBgAAAAAGAAYAWQEA&#10;AH8FAAAAAA==&#10;">
                <v:fill on="t" opacity="0f" focussize="0,0"/>
                <v:stroke on="f"/>
                <v:imagedata o:title=""/>
                <o:lock v:ext="edit" aspectratio="f"/>
                <v:textbox inset="0mm,0mm,0mm,0mm">
                  <w:txbxContent>
                    <w:p>
                      <w:pPr>
                        <w:pStyle w:val="8"/>
                        <w:pBdr>
                          <w:top w:val="none" w:color="auto" w:sz="0" w:space="0"/>
                        </w:pBdr>
                        <w:ind w:firstLine="313" w:firstLineChars="112"/>
                        <w:rPr>
                          <w:rFonts w:hint="eastAsia"/>
                          <w:sz w:val="28"/>
                          <w:szCs w:val="28"/>
                          <w:lang w:eastAsia="zh-CN"/>
                        </w:rPr>
                      </w:pPr>
                      <w:r>
                        <w:rPr>
                          <w:rFonts w:hint="eastAsia"/>
                          <w:sz w:val="28"/>
                          <w:szCs w:val="28"/>
                        </w:rPr>
                        <w:t>抄送</w:t>
                      </w:r>
                      <w:r>
                        <w:rPr>
                          <w:rFonts w:hint="eastAsia" w:ascii="仿宋_GB2312"/>
                          <w:spacing w:val="-6"/>
                        </w:rPr>
                        <w:t>：</w:t>
                      </w:r>
                      <w:bookmarkStart w:id="1005" w:name="copydelivery"/>
                      <w:r>
                        <w:rPr>
                          <w:rFonts w:hint="eastAsia"/>
                          <w:sz w:val="28"/>
                          <w:szCs w:val="28"/>
                          <w:lang w:eastAsia="zh-CN"/>
                        </w:rPr>
                        <w:t>市委各部门，宁德军分区，各人民团体。</w:t>
                      </w:r>
                    </w:p>
                    <w:p>
                      <w:pPr>
                        <w:pStyle w:val="8"/>
                        <w:pBdr>
                          <w:top w:val="none" w:color="auto" w:sz="0" w:space="0"/>
                        </w:pBdr>
                        <w:ind w:firstLine="280" w:firstLineChars="100"/>
                        <w:rPr>
                          <w:rFonts w:hint="eastAsia"/>
                          <w:spacing w:val="-11"/>
                          <w:sz w:val="28"/>
                          <w:szCs w:val="28"/>
                          <w:lang w:eastAsia="zh-CN"/>
                        </w:rPr>
                      </w:pPr>
                      <w:r>
                        <w:rPr>
                          <w:rFonts w:hint="eastAsia"/>
                          <w:sz w:val="28"/>
                          <w:szCs w:val="28"/>
                          <w:lang w:eastAsia="zh-CN"/>
                        </w:rPr>
                        <w:t>　　　</w:t>
                      </w:r>
                      <w:r>
                        <w:rPr>
                          <w:rFonts w:hint="eastAsia"/>
                          <w:spacing w:val="-11"/>
                          <w:sz w:val="28"/>
                          <w:szCs w:val="28"/>
                          <w:lang w:eastAsia="zh-CN"/>
                        </w:rPr>
                        <w:t>市人大常委会办公室，市政协办公室，市监委，市法院，市检察院。</w:t>
                      </w:r>
                    </w:p>
                    <w:p>
                      <w:pPr>
                        <w:pStyle w:val="8"/>
                        <w:pBdr>
                          <w:top w:val="none" w:color="auto" w:sz="0" w:space="0"/>
                        </w:pBdr>
                        <w:ind w:firstLine="280" w:firstLineChars="100"/>
                        <w:rPr>
                          <w:rFonts w:hint="eastAsia"/>
                          <w:sz w:val="28"/>
                          <w:szCs w:val="28"/>
                        </w:rPr>
                      </w:pPr>
                      <w:r>
                        <w:rPr>
                          <w:rFonts w:hint="eastAsia"/>
                          <w:sz w:val="28"/>
                          <w:szCs w:val="28"/>
                          <w:lang w:eastAsia="zh-CN"/>
                        </w:rPr>
                        <w:t>　　　各民主党派，市工商联。</w:t>
                      </w:r>
                      <w:bookmarkEnd w:id="1005"/>
                    </w:p>
                    <w:p>
                      <w:pPr>
                        <w:pBdr>
                          <w:top w:val="none" w:color="auto" w:sz="0" w:space="0"/>
                        </w:pBdr>
                        <w:spacing w:line="560" w:lineRule="exact"/>
                        <w:rPr>
                          <w:rFonts w:ascii="仿宋_GB2312"/>
                          <w:color w:val="000000"/>
                        </w:rPr>
                      </w:pPr>
                    </w:p>
                  </w:txbxContent>
                </v:textbox>
              </v:shape>
            </w:pict>
          </mc:Fallback>
        </mc:AlternateContent>
      </w:r>
      <w:r>
        <w:rPr>
          <w:sz w:val="20"/>
        </w:rPr>
        <mc:AlternateContent>
          <mc:Choice Requires="wps">
            <w:drawing>
              <wp:anchor distT="0" distB="0" distL="114300" distR="114300" simplePos="0" relativeHeight="251664384" behindDoc="0" locked="0" layoutInCell="1" allowOverlap="1">
                <wp:simplePos x="0" y="0"/>
                <wp:positionH relativeFrom="column">
                  <wp:posOffset>23495</wp:posOffset>
                </wp:positionH>
                <wp:positionV relativeFrom="page">
                  <wp:posOffset>9623425</wp:posOffset>
                </wp:positionV>
                <wp:extent cx="5618480" cy="0"/>
                <wp:effectExtent l="0" t="0" r="0" b="0"/>
                <wp:wrapNone/>
                <wp:docPr id="6" name="直接连接符 11"/>
                <wp:cNvGraphicFramePr/>
                <a:graphic xmlns:a="http://schemas.openxmlformats.org/drawingml/2006/main">
                  <a:graphicData uri="http://schemas.microsoft.com/office/word/2010/wordprocessingShape">
                    <wps:wsp>
                      <wps:cNvSpPr/>
                      <wps:spPr>
                        <a:xfrm>
                          <a:off x="0" y="0"/>
                          <a:ext cx="5618480" cy="0"/>
                        </a:xfrm>
                        <a:prstGeom prst="line">
                          <a:avLst/>
                        </a:prstGeom>
                        <a:ln w="3175" cap="flat" cmpd="sng">
                          <a:solidFill>
                            <a:srgbClr val="000000"/>
                          </a:solidFill>
                          <a:prstDash val="solid"/>
                          <a:round/>
                          <a:headEnd type="none" w="med" len="med"/>
                          <a:tailEnd type="none" w="med" len="med"/>
                        </a:ln>
                      </wps:spPr>
                      <wps:bodyPr upright="1"/>
                    </wps:wsp>
                  </a:graphicData>
                </a:graphic>
              </wp:anchor>
            </w:drawing>
          </mc:Choice>
          <mc:Fallback>
            <w:pict>
              <v:line id="直接连接符 11" o:spid="_x0000_s1026" o:spt="20" style="position:absolute;left:0pt;margin-left:1.85pt;margin-top:757.75pt;height:0pt;width:442.4pt;mso-position-vertical-relative:page;z-index:251664384;mso-width-relative:page;mso-height-relative:page;" filled="f" stroked="t" coordsize="21600,21600" o:gfxdata="UEsDBAoAAAAAAIdO4kAAAAAAAAAAAAAAAAAEAAAAZHJzL1BLAwQUAAAACACHTuJA7idfz9gAAAAL&#10;AQAADwAAAGRycy9kb3ducmV2LnhtbE2PQU/DMAyF70j7D5GRuLG0Qx1VaTqpFRx2YBIbEnDLGtNW&#10;NE5p0m38+5nDBDf7vafnz/nqZHtxwNF3jhTE8wgEUu1MR42C193TbQrCB01G945QwQ96WBWzq1xn&#10;xh3pBQ/b0AguIZ9pBW0IQyalr1u02s/dgMTepxutDryOjTSjPnK57eUiipbS6o74QqsHrFqsv7aT&#10;VRD82/smTOvvclk+V7grP6pHuVbq5jqOHkAEPIW/MPziMzoUzLR3ExkvegV39xxkOYmTBAQH0jTl&#10;YX+RZJHL/z8UZ1BLAwQUAAAACACHTuJAe5bWXvoBAADvAwAADgAAAGRycy9lMm9Eb2MueG1srVPN&#10;bhMxEL4j8Q6W72SzhYZqlU0PhHJBUKnwABPbm7XkP3mcbPISvAASNzhx5M7btDwGY2+aQrnkwB68&#10;Y3vmm/m+Gc8vd9awrYqovWt5PZlyppzwUrt1yz9+uHp2wRkmcBKMd6rle4X8cvH0yXwIjTrzvTdS&#10;RUYgDpshtLxPKTRVhaJXFnDig3J02floIdE2risZYSB0a6qz6XRWDT7KEL1QiHS6HC/5ATGeAui7&#10;Tgu19GJjlUsjalQGElHCXgfki1Jt1ymR3ncdqsRMy4lpKislIXuV12oxh2YdIfRaHEqAU0p4xMmC&#10;dpT0CLWEBGwT9T9QVovo0XdpIrytRiJFEWJRTx9pc9NDUIULSY3hKDr+P1jxbnsdmZYtn3HmwFLD&#10;7z7/uP309dfPL7Teff/G6jqrNARsyPkmXMfDDsnMlHddtPlPZNiuKLs/Kqt2iQk6PJ/VFy8uSHRx&#10;f1c9BIaI6Y3ylmWj5Ua7TBoa2L7FRMnI9d4lHxvHhpY/r1+eExzQBHbUeTJtIBbo1iUWvdHyShuT&#10;IzCuV69MZFvIU1C+TIlw/3LLSZaA/ehXrsb5iH7jJAVA0yuQr51kaR9IKUcPhOdirJKcGUXvKVvF&#10;M4E2p3hSEcZRLVnfUdFsrbzcU182Iep1T5qUFhQfmoNS+WFm86D9uS9ID+90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uJ1/P2AAAAAsBAAAPAAAAAAAAAAEAIAAAACIAAABkcnMvZG93bnJldi54&#10;bWxQSwECFAAUAAAACACHTuJAe5bWXvoBAADvAwAADgAAAAAAAAABACAAAAAnAQAAZHJzL2Uyb0Rv&#10;Yy54bWxQSwUGAAAAAAYABgBZAQAAkwUAAAAA&#10;">
                <v:fill on="f" focussize="0,0"/>
                <v:stroke weight="0.25pt" color="#000000" joinstyle="round"/>
                <v:imagedata o:title=""/>
                <o:lock v:ext="edit" aspectratio="f"/>
              </v:lin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3434715</wp:posOffset>
                </wp:positionH>
                <wp:positionV relativeFrom="page">
                  <wp:posOffset>9251315</wp:posOffset>
                </wp:positionV>
                <wp:extent cx="2207260" cy="360045"/>
                <wp:effectExtent l="0" t="0" r="0" b="0"/>
                <wp:wrapNone/>
                <wp:docPr id="5" name="文本框 10"/>
                <wp:cNvGraphicFramePr/>
                <a:graphic xmlns:a="http://schemas.openxmlformats.org/drawingml/2006/main">
                  <a:graphicData uri="http://schemas.microsoft.com/office/word/2010/wordprocessingShape">
                    <wps:wsp>
                      <wps:cNvSpPr txBox="1"/>
                      <wps:spPr>
                        <a:xfrm>
                          <a:off x="0" y="0"/>
                          <a:ext cx="2207260" cy="360045"/>
                        </a:xfrm>
                        <a:prstGeom prst="rect">
                          <a:avLst/>
                        </a:prstGeom>
                        <a:noFill/>
                        <a:ln>
                          <a:noFill/>
                        </a:ln>
                      </wps:spPr>
                      <wps:txbx>
                        <w:txbxContent>
                          <w:p>
                            <w:pPr>
                              <w:wordWrap w:val="0"/>
                              <w:jc w:val="right"/>
                              <w:rPr>
                                <w:rFonts w:ascii="仿宋_GB2312"/>
                              </w:rPr>
                            </w:pPr>
                            <w:bookmarkStart w:id="1006" w:name="REPE_yinchu"/>
                            <w:r>
                              <w:rPr>
                                <w:rFonts w:hint="eastAsia" w:ascii="仿宋_GB2312" w:hAnsi="仿宋_GB2312" w:cs="仿宋_GB2312"/>
                                <w:sz w:val="28"/>
                                <w:szCs w:val="28"/>
                                <w:lang w:eastAsia="zh-CN"/>
                              </w:rPr>
                              <w:t>2022年1月7日</w:t>
                            </w:r>
                            <w:bookmarkEnd w:id="1006"/>
                            <w:r>
                              <w:rPr>
                                <w:rFonts w:hint="eastAsia" w:ascii="仿宋_GB2312" w:hAnsi="仿宋_GB2312" w:cs="仿宋_GB2312"/>
                                <w:sz w:val="28"/>
                                <w:szCs w:val="28"/>
                              </w:rPr>
                              <w:t>印</w:t>
                            </w:r>
                            <w:r>
                              <w:rPr>
                                <w:rFonts w:hint="eastAsia" w:ascii="仿宋_GB2312"/>
                                <w:sz w:val="28"/>
                                <w:szCs w:val="28"/>
                              </w:rPr>
                              <w:t>发</w:t>
                            </w:r>
                            <w:r>
                              <w:rPr>
                                <w:rFonts w:hint="eastAsia" w:ascii="仿宋_GB2312"/>
                              </w:rPr>
                              <w:t>　</w:t>
                            </w:r>
                          </w:p>
                        </w:txbxContent>
                      </wps:txbx>
                      <wps:bodyPr vert="horz" wrap="square" lIns="0" tIns="0" rIns="0" bIns="0" anchor="t" anchorCtr="0" upright="1"/>
                    </wps:wsp>
                  </a:graphicData>
                </a:graphic>
              </wp:anchor>
            </w:drawing>
          </mc:Choice>
          <mc:Fallback>
            <w:pict>
              <v:shape id="文本框 10" o:spid="_x0000_s1026" o:spt="202" type="#_x0000_t202" style="position:absolute;left:0pt;margin-left:270.45pt;margin-top:728.45pt;height:28.35pt;width:173.8pt;mso-position-vertical-relative:page;z-index:251663360;mso-width-relative:page;mso-height-relative:page;" filled="f" stroked="f" coordsize="21600,21600" o:gfxdata="UEsDBAoAAAAAAIdO4kAAAAAAAAAAAAAAAAAEAAAAZHJzL1BLAwQUAAAACACHTuJAiG8PbNsAAAAN&#10;AQAADwAAAGRycy9kb3ducmV2LnhtbE2PzU7DMBCE70h9B2srcaN2oInSEKdCCE5IiDQcODqxm1iN&#10;1yF2f3h7llO57e6MZr8ptxc3spOZg/UoIVkJYAY7ry32Ej6b17scWIgKtRo9Ggk/JsC2WtyUqtD+&#10;jLU57WLPKARDoSQMMU4F56EbjFNh5SeDpO397FSkde65ntWZwt3I74XIuFMW6cOgJvM8mO6wOzoJ&#10;T19Yv9jv9/aj3te2aTYC37KDlLfLRDwCi+YSr2b4wyd0qIip9UfUgY0S0rXYkJWEdZrRRJY8z1Ng&#10;LZ3S5CEDXpX8f4vqF1BLAwQUAAAACACHTuJA5WYIPtkBAACmAwAADgAAAGRycy9lMm9Eb2MueG1s&#10;rVPNjtMwEL4j8Q6W7zRpYQuKmq4E1SIkBEjLPoDrOI0l22PGbpPyAPAGnLhw57n6HIyd/izLZQ9c&#10;nPHM+Jv5vpksrgdr2E5h0OBqPp2UnCknodFuU/O7zzfPXnEWonCNMOBUzfcq8Ovl0yeL3ldqBh2Y&#10;RiEjEBeq3te8i9FXRRFkp6wIE/DKUbAFtCLSFTdFg6IndGuKWVnOix6w8QhShUDe1RjkR0R8DCC0&#10;rZZqBXJrlYsjKiojIlEKnfaBL3O3batk/Ni2QUVmak5MYz6pCNnrdBbLhag2KHyn5bEF8ZgWHnCy&#10;QjsqeoZaiSjYFvU/UFZLhABtnEiwxUgkK0IspuUDbW474VXmQlIHfxY9/D9Y+WH3CZluan7FmROW&#10;Bn748f3w8/fh1zc2zfr0PlSUduspMQ6vYaCtSbolfyBnoj20aNOXCDGKk7r7s7pqiEySczYrX87m&#10;FJIUez4vyxdXCaa4vPYY4lsFliWj5kjTy6KK3fsQx9RTSirm4EYbkydo3F8Owkye4tJisuKwHo59&#10;r6HZEx36DahOB/iVs56WoObhy1ag4sy8c6Ry2piTgSdjfTKEk/S05pGz0XwTx83aetSbjpCzTrkL&#10;Gl+mely1tB/377nXy++1/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bw9s2wAAAA0BAAAPAAAA&#10;AAAAAAEAIAAAACIAAABkcnMvZG93bnJldi54bWxQSwECFAAUAAAACACHTuJA5WYIPtkBAACmAwAA&#10;DgAAAAAAAAABACAAAAAqAQAAZHJzL2Uyb0RvYy54bWxQSwUGAAAAAAYABgBZAQAAdQUAAAAA&#10;">
                <v:fill on="f" focussize="0,0"/>
                <v:stroke on="f"/>
                <v:imagedata o:title=""/>
                <o:lock v:ext="edit" aspectratio="f"/>
                <v:textbox inset="0mm,0mm,0mm,0mm">
                  <w:txbxContent>
                    <w:p>
                      <w:pPr>
                        <w:wordWrap w:val="0"/>
                        <w:jc w:val="right"/>
                        <w:rPr>
                          <w:rFonts w:ascii="仿宋_GB2312"/>
                        </w:rPr>
                      </w:pPr>
                      <w:bookmarkStart w:id="1006" w:name="REPE_yinchu"/>
                      <w:r>
                        <w:rPr>
                          <w:rFonts w:hint="eastAsia" w:ascii="仿宋_GB2312" w:hAnsi="仿宋_GB2312" w:cs="仿宋_GB2312"/>
                          <w:sz w:val="28"/>
                          <w:szCs w:val="28"/>
                          <w:lang w:eastAsia="zh-CN"/>
                        </w:rPr>
                        <w:t>2022年1月7日</w:t>
                      </w:r>
                      <w:bookmarkEnd w:id="1006"/>
                      <w:r>
                        <w:rPr>
                          <w:rFonts w:hint="eastAsia" w:ascii="仿宋_GB2312" w:hAnsi="仿宋_GB2312" w:cs="仿宋_GB2312"/>
                          <w:sz w:val="28"/>
                          <w:szCs w:val="28"/>
                        </w:rPr>
                        <w:t>印</w:t>
                      </w:r>
                      <w:r>
                        <w:rPr>
                          <w:rFonts w:hint="eastAsia" w:ascii="仿宋_GB2312"/>
                          <w:sz w:val="28"/>
                          <w:szCs w:val="28"/>
                        </w:rPr>
                        <w:t>发</w:t>
                      </w:r>
                      <w:r>
                        <w:rPr>
                          <w:rFonts w:hint="eastAsia" w:ascii="仿宋_GB2312"/>
                        </w:rPr>
                        <w:t>　</w:t>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column">
                  <wp:posOffset>23495</wp:posOffset>
                </wp:positionH>
                <wp:positionV relativeFrom="page">
                  <wp:posOffset>9255760</wp:posOffset>
                </wp:positionV>
                <wp:extent cx="2608580" cy="360045"/>
                <wp:effectExtent l="0" t="0" r="0" b="0"/>
                <wp:wrapNone/>
                <wp:docPr id="4" name="文本框 9"/>
                <wp:cNvGraphicFramePr/>
                <a:graphic xmlns:a="http://schemas.openxmlformats.org/drawingml/2006/main">
                  <a:graphicData uri="http://schemas.microsoft.com/office/word/2010/wordprocessingShape">
                    <wps:wsp>
                      <wps:cNvSpPr txBox="1"/>
                      <wps:spPr>
                        <a:xfrm>
                          <a:off x="0" y="0"/>
                          <a:ext cx="2608580" cy="360045"/>
                        </a:xfrm>
                        <a:prstGeom prst="rect">
                          <a:avLst/>
                        </a:prstGeom>
                        <a:noFill/>
                        <a:ln>
                          <a:noFill/>
                        </a:ln>
                      </wps:spPr>
                      <wps:txbx>
                        <w:txbxContent>
                          <w:p>
                            <w:pPr>
                              <w:pStyle w:val="8"/>
                              <w:ind w:firstLine="280" w:firstLineChars="100"/>
                              <w:rPr>
                                <w:rFonts w:hint="eastAsia" w:ascii="Times New Roman" w:eastAsia="仿宋_GB2312"/>
                                <w:sz w:val="28"/>
                                <w:szCs w:val="28"/>
                                <w:lang w:val="en-US" w:eastAsia="zh-CN"/>
                              </w:rPr>
                            </w:pPr>
                            <w:r>
                              <w:rPr>
                                <w:rFonts w:hint="eastAsia"/>
                                <w:sz w:val="28"/>
                                <w:szCs w:val="28"/>
                              </w:rPr>
                              <w:t>宁德市人民政府</w:t>
                            </w:r>
                            <w:r>
                              <w:rPr>
                                <w:rFonts w:hint="eastAsia"/>
                                <w:sz w:val="28"/>
                                <w:szCs w:val="28"/>
                                <w:lang w:val="en-US" w:eastAsia="zh-CN"/>
                              </w:rPr>
                              <w:t>办公室</w:t>
                            </w:r>
                          </w:p>
                        </w:txbxContent>
                      </wps:txbx>
                      <wps:bodyPr vert="horz" wrap="square" lIns="0" tIns="0" rIns="0" bIns="0" anchor="t" anchorCtr="0" upright="1"/>
                    </wps:wsp>
                  </a:graphicData>
                </a:graphic>
              </wp:anchor>
            </w:drawing>
          </mc:Choice>
          <mc:Fallback>
            <w:pict>
              <v:shape id="文本框 9" o:spid="_x0000_s1026" o:spt="202" type="#_x0000_t202" style="position:absolute;left:0pt;margin-left:1.85pt;margin-top:728.8pt;height:28.35pt;width:205.4pt;mso-position-vertical-relative:page;z-index:251662336;mso-width-relative:page;mso-height-relative:page;" filled="f" stroked="f" coordsize="21600,21600" o:gfxdata="UEsDBAoAAAAAAIdO4kAAAAAAAAAAAAAAAAAEAAAAZHJzL1BLAwQUAAAACACHTuJAfrYy4dkAAAAL&#10;AQAADwAAAGRycy9kb3ducmV2LnhtbE2PzU7DMBCE70i8g7VI3KgdmqYQ4lQIwQkJkYYDRyfeJlHj&#10;dYjdH96e5QS33ZnR7LfF5uxGccQ5DJ40JAsFAqn1dqBOw0f9cnMHIkRD1oyeUMM3BtiUlxeFya0/&#10;UYXHbewEl1DIjYY+ximXMrQ9OhMWfkJib+dnZyKvcyftbE5c7kZ5q1QmnRmIL/Rmwqce2/324DQ8&#10;flL1PHy9Ne/Vrhrq+l7Ra7bX+voqUQ8gIp7jXxh+8RkdSmZq/IFsEKOG5ZqDLKerdQaCAymPIBqW&#10;Vkm6BFkW8v8P5Q9QSwMEFAAAAAgAh07iQNIOO87aAQAApQMAAA4AAABkcnMvZTJvRG9jLnhtbK1T&#10;wY7TMBC9I/EPlu802bJblajpSlAtQkKAtOwHuI7TWLI9Zuw2KR8Af8CJC3e+q9/B2Gm7y3LZAxdn&#10;PDN+M+/NZHE9WMN2CoMGV/OLScmZchIa7TY1v/t882LOWYjCNcKAUzXfq8Cvl8+fLXpfqSl0YBqF&#10;jEBcqHpf8y5GXxVFkJ2yIkzAK0fBFtCKSFfcFA2KntCtKaZlOSt6wMYjSBUCeVdjkB8R8SmA0LZa&#10;qhXIrVUujqiojIhEKXTaB77M3batkvFj2wYVmak5MY35pCJkr9NZLBei2qDwnZbHFsRTWnjEyQrt&#10;qOgZaiWiYFvU/0BZLRECtHEiwRYjkawIsbgoH2lz2wmvMheSOviz6OH/wcoPu0/IdFPzS86csDTw&#10;w4/vh5+/D7++sVdJnt6HirJuPeXF4TUMtDQnfyBnYj20aNOX+DCKk7j7s7hqiEySczor51dzCkmK&#10;vZyV5eVVginuX3sM8a0Cy5JRc6ThZU3F7n2IY+opJRVzcKONyQM07i8HYSZPkVofW0xWHNbDkc8a&#10;mj3Rob+A6nSAXznraQdqHr5sBSrOzDtHIqeFORl4MtYnQzhJT2seORvNN3FcrK1HvekIOeuUu6Dp&#10;ZarHTUvr8fCee73/u5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62MuHZAAAACwEAAA8AAAAA&#10;AAAAAQAgAAAAIgAAAGRycy9kb3ducmV2LnhtbFBLAQIUABQAAAAIAIdO4kDSDjvO2gEAAKUDAAAO&#10;AAAAAAAAAAEAIAAAACgBAABkcnMvZTJvRG9jLnhtbFBLBQYAAAAABgAGAFkBAAB0BQAAAAA=&#10;">
                <v:fill on="f" focussize="0,0"/>
                <v:stroke on="f"/>
                <v:imagedata o:title=""/>
                <o:lock v:ext="edit" aspectratio="f"/>
                <v:textbox inset="0mm,0mm,0mm,0mm">
                  <w:txbxContent>
                    <w:p>
                      <w:pPr>
                        <w:pStyle w:val="8"/>
                        <w:ind w:firstLine="280" w:firstLineChars="100"/>
                        <w:rPr>
                          <w:rFonts w:hint="eastAsia" w:ascii="Times New Roman" w:eastAsia="仿宋_GB2312"/>
                          <w:sz w:val="28"/>
                          <w:szCs w:val="28"/>
                          <w:lang w:val="en-US" w:eastAsia="zh-CN"/>
                        </w:rPr>
                      </w:pPr>
                      <w:r>
                        <w:rPr>
                          <w:rFonts w:hint="eastAsia"/>
                          <w:sz w:val="28"/>
                          <w:szCs w:val="28"/>
                        </w:rPr>
                        <w:t>宁德市人民政府</w:t>
                      </w:r>
                      <w:r>
                        <w:rPr>
                          <w:rFonts w:hint="eastAsia"/>
                          <w:sz w:val="28"/>
                          <w:szCs w:val="28"/>
                          <w:lang w:val="en-US" w:eastAsia="zh-CN"/>
                        </w:rPr>
                        <w:t>办公室</w:t>
                      </w:r>
                    </w:p>
                  </w:txbxContent>
                </v:textbox>
              </v:shape>
            </w:pict>
          </mc:Fallback>
        </mc:AlternateContent>
      </w:r>
    </w:p>
    <w:sectPr>
      <w:pgSz w:w="11906" w:h="16838"/>
      <w:pgMar w:top="2098" w:right="1417" w:bottom="1587" w:left="1588" w:header="851" w:footer="1361" w:gutter="0"/>
      <w:paperSrc/>
      <w:pgNumType w:fmt="decimal"/>
      <w:cols w:space="720" w:num="1"/>
      <w:docGrid w:type="linesAndChars" w:linePitch="634" w:charSpace="-2677"/>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方正小标宋_GBK">
    <w:altName w:val="Arial Unicode MS"/>
    <w:panose1 w:val="03000509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MZvCt0BAAC/AwAADgAAAGRycy9lMm9Eb2MueG1srVPBjtMwEL0j8Q+W&#10;7zTZHpYqarqCrRYhIUBa+ADXcRpLtsfyuE3KB8AfcOLCne/qdzB2ki4slz1wScYz4zfz3ozXN4M1&#10;7KgCanA1v1qUnCknodFuX/PPn+5erDjDKFwjDDhV85NCfrN5/mzd+0otoQPTqMAIxGHV+5p3Mfqq&#10;KFB2ygpcgFeOgi0EKyIdw75ogugJ3ZpiWZbXRQ+h8QGkQiTvdgzyCTE8BRDaVku1BXmwysURNSgj&#10;IlHCTnvkm9xt2yoZP7QtqshMzYlpzF8qQvYufYvNWlT7IHyn5dSCeEoLjzhZoR0VvUBtRRTsEPQ/&#10;UFbLAAhtXEiwxUgkK0IsrspH2tx3wqvMhaRGfxEd/x+sfH/8GJhuaBNo7k5Ymvj5+7fzj1/nn1/Z&#10;y6RP77GitHtPiXF4DQPlzn4kZ6I9tMGmPxFiFCd1Txd11RCZTJdWy9WqpJCk2Hwg/OLhug8Y3yiw&#10;LBk1DzS+rKo4vsM4ps4pqZqDO21MHqFxfzkIM3mK1PvYY7LisBsmQjtoTsSH3gHV6SB84aynLai5&#10;o6XnzLx1JHJamNkIs7GbDeEkXax55Gw0b+O4WAcf9L7Lq5aaQv/qEKnTTCC1MdaeuqO5ZgmmHUyL&#10;8+c5Zz28u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DjGbwrdAQAAvwMAAA4AAAAAAAAA&#10;AQAgAAAAHgEAAGRycy9lMm9Eb2MueG1sUEsFBgAAAAAGAAYAWQEAAG0FAAAAAA==&#10;">
              <v:fill on="f" focussize="0,0"/>
              <v:stroke on="f"/>
              <v:imagedata o:title=""/>
              <o:lock v:ext="edit" aspectratio="f"/>
              <v:textbox inset="0mm,0mm,0mm,0mm" style="mso-fit-shape-to-text:t;">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1"/>
                            <w:ind w:firstLine="36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cgjmAQAAyAMAAA4AAABkcnMvZTJvRG9jLnhtbK1TzY7TMBC+I/EO&#10;lu802aJdVVHTFVAtQkKAtPAAruM0lvyn8bRJeQB4A05cuPNcfQ7GTtJFy2UPXJKxZ+ab+b4Zr28H&#10;a9hRQdTe1fxqUXKmnPSNdvuaf/l892LFWUThGmG8UzU/qchvN8+frftQqaXvvGkUMAJxsepDzTvE&#10;UBVFlJ2yIi58UI6crQcrkI6wLxoQPaFbUyzL8qboPTQBvFQx0u12dPIJEZ4C6NtWS7X18mCVwxEV&#10;lBFIlGKnQ+Sb3G3bKokf2zYqZKbmxBTzl4qQvUvfYrMW1R5E6LScWhBPaeERJyu0o6IXqK1AwQ6g&#10;/4GyWoKPvsWF9LYYiWRFiMVV+Uib+04ElbmQ1DFcRI//D1Z+OH4CphvahGvOnLA08fOP7+efv8+/&#10;vrFV0qcPsaKw+0CBOLz2A8XO95EuE+2hBZv+RIiRn9Q9XdRVAzKZklbL1aoklyTffCD84iE9QMS3&#10;yluWjJoDjS+rKo7vI46hc0iq5vydNiaP0DjW1/zm5XWZEy4eAjeOaiQSY7PJwmE3TMx2vjkRMXoQ&#10;VLDz8JWzntah5o62nzPzzpHaaXNmA2ZjNxvCSUqsOXI2mm9w3LBDAL3v8s6ldmN4dUBqOTNJbYy1&#10;p+5owFmLaRnTBv19zlEPD3D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AkoHII5gEAAMgD&#10;AAAOAAAAAAAAAAEAIAAAAB8BAABkcnMvZTJvRG9jLnhtbFBLBQYAAAAABgAGAFkBAAB3BQAAAAA=&#10;">
              <v:fill on="f" focussize="0,0"/>
              <v:stroke on="f" weight="0.5pt"/>
              <v:imagedata o:title=""/>
              <o:lock v:ext="edit" aspectratio="f"/>
              <v:textbox inset="0mm,0mm,0mm,0mm" style="mso-fit-shape-to-text:t;">
                <w:txbxContent>
                  <w:p>
                    <w:pPr>
                      <w:pStyle w:val="11"/>
                      <w:ind w:firstLine="36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07"/>
        <w:tab w:val="clear" w:pos="4153"/>
      </w:tabs>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1"/>
                            <w:ind w:firstLine="36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UEG7znAQAAyAMAAA4AAABkcnMvZTJvRG9jLnhtbK1TwY7TMBC9I/EP&#10;lu802SKqEjVdAdUiJARICx/gOk5jyfZYY7dJ+QD4A05cuPNd/Q7GTtNFu5c97CUZe2bezHszXl0P&#10;1rCDwqDB1fxqVnKmnIRGu13Nv329ebHkLEThGmHAqZofVeDX6+fPVr2v1Bw6MI1CRiAuVL2veRej&#10;r4oiyE5ZEWbglSNnC2hFpCPuigZFT+jWFPOyXBQ9YOMRpAqBbjejk58R8TGA0LZaqg3IvVUujqio&#10;jIhEKXTaB77O3batkvFz2wYVmak5MY35S0XI3qZvsV6JaofCd1qeWxCPaeEeJyu0o6IXqI2Igu1R&#10;P4CyWiIEaONMgi1GIlkRYnFV3tPmthNeZS4kdfAX0cPTwcpPhy/IdEObsODMCUsTP/36efr99/Tn&#10;B3ud9Ol9qCjs1lNgHN7CQLHTfaDLRHto0aY/EWLkJ3WPF3XVEJlMScv5clmSS5JvOhB+cZfuMcT3&#10;CixLRs2RxpdVFYePIY6hU0iq5uBGG5NHaBzra754+arMCRcPgRtHNRKJsdlkxWE7nJltoTkSMXoQ&#10;VLAD/M5ZT+tQc0fbz5n54EjttDmTgZOxnQzhJCXWPHI2mu/iuGF7j3rX5Z1L7Qb/Zh+p5cwktTHW&#10;PndHA85anJcxbdD/5xx19wDX/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hQQbvOcBAADI&#10;AwAADgAAAAAAAAABACAAAAAfAQAAZHJzL2Uyb0RvYy54bWxQSwUGAAAAAAYABgBZAQAAeAUAAAAA&#10;">
              <v:fill on="f" focussize="0,0"/>
              <v:stroke on="f" weight="0.5pt"/>
              <v:imagedata o:title=""/>
              <o:lock v:ext="edit" aspectratio="f"/>
              <v:textbox inset="0mm,0mm,0mm,0mm" style="mso-fit-shape-to-text:t;">
                <w:txbxContent>
                  <w:p>
                    <w:pPr>
                      <w:pStyle w:val="11"/>
                      <w:ind w:firstLine="36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1"/>
                            <w:ind w:firstLine="36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mgj7mAQAAyQMAAA4AAABkcnMvZTJvRG9jLnhtbK1TQa7TMBDdI3EH&#10;y3uatIhPFTX9AqqPkBAgfTiA6ziNJdtj2dMm5QBwA1Zs2HOunoOx07Tos/kLNsnYM/Nm3pvx6naw&#10;hh1UiBpczeezkjPlJDTa7Wr+5fPdsyVnEYVrhAGnan5Ukd+unz5Z9b5SC+jANCowAnGx6n3NO0Rf&#10;FUWUnbIizsArR84WghVIx7ArmiB6QremWJTlTdFDaHwAqWKk283o5GfE8BhAaFst1Qbk3iqHI2pQ&#10;RiBRip32ka9zt22rJH5s26iQmZoTU8xfKkL2Nn2L9UpUuyB8p+W5BfGYFh5wskI7KnqB2ggUbB/0&#10;P1BWywARWpxJsMVIJCtCLOblA23uO+FV5kJSR38RPf4/WPnh8Ckw3dAmvOTMCUsTP/34fvr5+/Tr&#10;G5tngXofK4q79xSJw2sYKDgJl+4jXSbeQxts+hMjRn6S93iRVw3IZEpaLpbLklySfNOBcIprug8R&#10;3yqwLBk1DzS/LKs4vI84hk4hqZqDO21MnqFxrK/5zfMXZU64eAjcOKpxbTZZOGyHM4MtNEciRi+C&#10;CnYQvnLW0z7U3NH6c2beOZI7rc5khMnYToZwkhJrjpyN5hscV2zvg951eelSu9G/2iO1nJmkNsba&#10;5+5owlmL8zamFfr7nKOuL3D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BaJoI+5gEAAMkD&#10;AAAOAAAAAAAAAAEAIAAAAB8BAABkcnMvZTJvRG9jLnhtbFBLBQYAAAAABgAGAFkBAAB3BQAAAAA=&#10;">
              <v:fill on="f" focussize="0,0"/>
              <v:stroke on="f" weight="0.5pt"/>
              <v:imagedata o:title=""/>
              <o:lock v:ext="edit" aspectratio="f"/>
              <v:textbox inset="0mm,0mm,0mm,0mm" style="mso-fit-shape-to-text:t;">
                <w:txbxContent>
                  <w:p>
                    <w:pPr>
                      <w:pStyle w:val="11"/>
                      <w:ind w:firstLine="36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right" w:pos="8820"/>
        <w:tab w:val="clear" w:pos="8306"/>
      </w:tabs>
      <w:ind w:right="23"/>
      <w:jc w:val="right"/>
      <w:rPr>
        <w:rFonts w:hint="eastAsia"/>
        <w:sz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tabs>
                              <w:tab w:val="right" w:pos="8820"/>
                              <w:tab w:val="clear" w:pos="8306"/>
                            </w:tabs>
                            <w:ind w:right="23"/>
                            <w:jc w:val="righ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cO+/N0BAAC/AwAADgAAAGRycy9lMm9Eb2MueG1srVPNjtMwEL4j8Q6W&#10;7zTZHlaharqCrRYhIUBaeADXcRpL/pNn2qQ8ALwBJy7cea4+B2Mn6cJy2QOXZDwz/ma+b8brm8Ea&#10;dlQRtHc1v1qUnCknfaPdvuafP929qDgDFK4RxjtV85MCfrN5/mzdh5Va+s6bRkVGIA5Wfah5hxhW&#10;RQGyU1bAwgflKNj6aAXSMe6LJoqe0K0plmV5XfQ+NiF6qQDIux2DfEKMTwH0baul2np5sMrhiBqV&#10;EUiUoNMB+CZ327ZK4oe2BYXM1JyYYv5SEbJ36Vts1mK1jyJ0Wk4tiKe08IiTFdpR0QvUVqBgh6j/&#10;gbJaRg++xYX0thiJZEWIxVX5SJv7TgSVuZDUEC6iw/+Dle+PHyPTDW3CS86csDTx8/dv5x+/zj+/&#10;sirp0wdYUdp9oEQcXvuBcmc/kDPRHtpo058IMYqTuqeLumpAJtOlallVJYUkxeYD4RcP10MEfKO8&#10;ZcmoeaTxZVXF8R3gmDqnpGrO32lj8giN+8tBmMlTpN7HHpOFw26YCO18cyI+9A6oTufjF8562oKa&#10;O1p6zsxbRyKnhZmNOBu72RBO0sWaI2ejeYvjYh1C1Psur1pqCsKrA1KnmUBqY6w9dUdzzRJMO5gW&#10;589zznp4d5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FnDvvzdAQAAvwMAAA4AAAAAAAAA&#10;AQAgAAAAHgEAAGRycy9lMm9Eb2MueG1sUEsFBgAAAAAGAAYAWQEAAG0FAAAAAA==&#10;">
              <v:fill on="f" focussize="0,0"/>
              <v:stroke on="f"/>
              <v:imagedata o:title=""/>
              <o:lock v:ext="edit" aspectratio="f"/>
              <v:textbox inset="0mm,0mm,0mm,0mm" style="mso-fit-shape-to-text:t;">
                <w:txbxContent>
                  <w:p>
                    <w:pPr>
                      <w:pStyle w:val="11"/>
                      <w:tabs>
                        <w:tab w:val="right" w:pos="8820"/>
                        <w:tab w:val="clear" w:pos="8306"/>
                      </w:tabs>
                      <w:ind w:right="23"/>
                      <w:jc w:val="righ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560"/>
        <w:tab w:val="right" w:pos="8484"/>
      </w:tabs>
      <w:ind w:right="360"/>
      <w:rPr>
        <w:rFonts w:hint="eastAsia"/>
        <w:sz w:val="24"/>
      </w:rPr>
    </w:pPr>
    <w:r>
      <w:rPr>
        <w:rFonts w:hint="eastAsia"/>
        <w:kern w:val="0"/>
        <w:sz w:val="24"/>
        <w:szCs w:val="21"/>
      </w:rPr>
      <w:t>—</w:t>
    </w:r>
    <w:r>
      <w:rPr>
        <w:kern w:val="0"/>
        <w:sz w:val="24"/>
        <w:szCs w:val="21"/>
      </w:rPr>
      <w:t xml:space="preserve"> </w:t>
    </w:r>
    <w:r>
      <w:rPr>
        <w:kern w:val="0"/>
        <w:sz w:val="24"/>
        <w:szCs w:val="21"/>
      </w:rPr>
      <w:fldChar w:fldCharType="begin"/>
    </w:r>
    <w:r>
      <w:rPr>
        <w:kern w:val="0"/>
        <w:sz w:val="24"/>
        <w:szCs w:val="21"/>
      </w:rPr>
      <w:instrText xml:space="preserve"> PAGE </w:instrText>
    </w:r>
    <w:r>
      <w:rPr>
        <w:kern w:val="0"/>
        <w:sz w:val="24"/>
        <w:szCs w:val="21"/>
      </w:rPr>
      <w:fldChar w:fldCharType="separate"/>
    </w:r>
    <w:r>
      <w:rPr>
        <w:kern w:val="0"/>
        <w:sz w:val="24"/>
        <w:szCs w:val="21"/>
        <w:lang/>
      </w:rPr>
      <w:t>2</w:t>
    </w:r>
    <w:r>
      <w:rPr>
        <w:kern w:val="0"/>
        <w:sz w:val="24"/>
        <w:szCs w:val="21"/>
      </w:rPr>
      <w:fldChar w:fldCharType="end"/>
    </w:r>
    <w:r>
      <w:rPr>
        <w:rFonts w:hint="eastAsia"/>
        <w:kern w:val="0"/>
        <w:sz w:val="24"/>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ind w:firstLine="0"/>
      <w:jc w:val="both"/>
      <w:rPr>
        <w:rFonts w:hint="eastAsia" w:eastAsia="仿宋_GB2312"/>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19"/>
  <w:hyphenationZone w:val="360"/>
  <w:drawingGridHorizontalSpacing w:val="153"/>
  <w:drawingGridVerticalSpacing w:val="317"/>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5MjEzMzdkYmNkM2Q4NmY2YTNhMDU1ZGNiOWFiMzAifQ=="/>
    <w:docVar w:name="KSO_WPS_MARK_KEY" w:val="9a2a7b3b-c1d1-4095-a685-62a60122cd12"/>
  </w:docVars>
  <w:rsids>
    <w:rsidRoot w:val="000822D2"/>
    <w:rsid w:val="00020EDF"/>
    <w:rsid w:val="000772E9"/>
    <w:rsid w:val="000822D2"/>
    <w:rsid w:val="000E14A2"/>
    <w:rsid w:val="001A014F"/>
    <w:rsid w:val="00261583"/>
    <w:rsid w:val="00314CFA"/>
    <w:rsid w:val="00472D77"/>
    <w:rsid w:val="0061562D"/>
    <w:rsid w:val="00895110"/>
    <w:rsid w:val="00AD10FE"/>
    <w:rsid w:val="00C40662"/>
    <w:rsid w:val="00D75598"/>
    <w:rsid w:val="00F32464"/>
    <w:rsid w:val="06DB46C6"/>
    <w:rsid w:val="11AF6626"/>
    <w:rsid w:val="129E1D2D"/>
    <w:rsid w:val="133A219F"/>
    <w:rsid w:val="1829238C"/>
    <w:rsid w:val="1BD35A0B"/>
    <w:rsid w:val="2AD87C6C"/>
    <w:rsid w:val="2C797EFE"/>
    <w:rsid w:val="2FE90966"/>
    <w:rsid w:val="30B25F89"/>
    <w:rsid w:val="30CF3CDC"/>
    <w:rsid w:val="382C4453"/>
    <w:rsid w:val="3F7FE70B"/>
    <w:rsid w:val="45313A48"/>
    <w:rsid w:val="461A6A4D"/>
    <w:rsid w:val="47F506C9"/>
    <w:rsid w:val="4D500243"/>
    <w:rsid w:val="4F352470"/>
    <w:rsid w:val="4F830A5D"/>
    <w:rsid w:val="4FCDC5D6"/>
    <w:rsid w:val="4FDECFCF"/>
    <w:rsid w:val="5417453A"/>
    <w:rsid w:val="593F7F15"/>
    <w:rsid w:val="599C5B3F"/>
    <w:rsid w:val="5A605BDC"/>
    <w:rsid w:val="658474DA"/>
    <w:rsid w:val="66F99174"/>
    <w:rsid w:val="69F7F50F"/>
    <w:rsid w:val="6A949ED9"/>
    <w:rsid w:val="6DBFEB9D"/>
    <w:rsid w:val="73DE7A65"/>
    <w:rsid w:val="74FEB865"/>
    <w:rsid w:val="777F383F"/>
    <w:rsid w:val="77C7414D"/>
    <w:rsid w:val="7AE0E6E6"/>
    <w:rsid w:val="7F190FA2"/>
    <w:rsid w:val="7FCFB35A"/>
    <w:rsid w:val="E8FC68D6"/>
    <w:rsid w:val="F1DF2A6C"/>
    <w:rsid w:val="F3F9B102"/>
    <w:rsid w:val="F5FBBA68"/>
    <w:rsid w:val="F7FF9A69"/>
    <w:rsid w:val="FDDF1711"/>
    <w:rsid w:val="FFFFAD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eastAsia="仿宋_GB2312"/>
      <w:kern w:val="2"/>
      <w:sz w:val="32"/>
      <w:szCs w:val="24"/>
      <w:lang w:val="en-US" w:eastAsia="zh-CN" w:bidi="ar-SA"/>
    </w:rPr>
  </w:style>
  <w:style w:type="paragraph" w:styleId="3">
    <w:name w:val="heading 1"/>
    <w:basedOn w:val="1"/>
    <w:next w:val="1"/>
    <w:qFormat/>
    <w:uiPriority w:val="0"/>
    <w:pPr>
      <w:keepNext/>
      <w:keepLines/>
      <w:spacing w:before="120" w:after="120" w:line="600" w:lineRule="exact"/>
      <w:ind w:firstLine="0" w:firstLineChars="0"/>
      <w:jc w:val="center"/>
      <w:outlineLvl w:val="0"/>
    </w:pPr>
    <w:rPr>
      <w:rFonts w:ascii="黑体" w:hAnsi="黑体" w:eastAsia="黑体" w:cs="黑体"/>
      <w:b/>
      <w:kern w:val="44"/>
      <w:sz w:val="36"/>
      <w:szCs w:val="32"/>
      <w:shd w:val="clear" w:color="auto" w:fill="FFFFFF"/>
    </w:rPr>
  </w:style>
  <w:style w:type="paragraph" w:styleId="4">
    <w:name w:val="heading 2"/>
    <w:basedOn w:val="1"/>
    <w:next w:val="1"/>
    <w:qFormat/>
    <w:uiPriority w:val="0"/>
    <w:pPr>
      <w:keepNext/>
      <w:keepLines/>
      <w:spacing w:line="600" w:lineRule="exact"/>
      <w:ind w:firstLine="0" w:firstLineChars="0"/>
      <w:jc w:val="center"/>
      <w:outlineLvl w:val="1"/>
    </w:pPr>
    <w:rPr>
      <w:rFonts w:ascii="Arial" w:hAnsi="Arial" w:eastAsia="黑体"/>
      <w:b/>
    </w:rPr>
  </w:style>
  <w:style w:type="paragraph" w:styleId="5">
    <w:name w:val="heading 3"/>
    <w:basedOn w:val="1"/>
    <w:next w:val="1"/>
    <w:link w:val="19"/>
    <w:qFormat/>
    <w:uiPriority w:val="0"/>
    <w:pPr>
      <w:keepNext/>
      <w:keepLines/>
      <w:spacing w:line="600" w:lineRule="exact"/>
      <w:outlineLvl w:val="2"/>
    </w:pPr>
    <w:rPr>
      <w:b/>
    </w:rPr>
  </w:style>
  <w:style w:type="character" w:default="1" w:styleId="17">
    <w:name w:val="Default Paragraph Font"/>
    <w:semiHidden/>
    <w:uiPriority w:val="0"/>
  </w:style>
  <w:style w:type="table" w:default="1" w:styleId="16">
    <w:name w:val="Normal Table"/>
    <w:semiHidden/>
    <w:uiPriority w:val="0"/>
    <w:tblPr>
      <w:tblStyle w:val="16"/>
      <w:tblCellMar>
        <w:top w:w="0" w:type="dxa"/>
        <w:left w:w="108" w:type="dxa"/>
        <w:bottom w:w="0" w:type="dxa"/>
        <w:right w:w="108" w:type="dxa"/>
      </w:tblCellMar>
    </w:tblPr>
  </w:style>
  <w:style w:type="paragraph" w:styleId="2">
    <w:name w:val="Body Text"/>
    <w:basedOn w:val="1"/>
    <w:next w:val="1"/>
    <w:uiPriority w:val="0"/>
    <w:pPr>
      <w:jc w:val="center"/>
    </w:pPr>
    <w:rPr>
      <w:b/>
      <w:color w:val="FF0000"/>
      <w:spacing w:val="-60"/>
      <w:kern w:val="15"/>
      <w:sz w:val="96"/>
      <w:szCs w:val="72"/>
    </w:rPr>
  </w:style>
  <w:style w:type="paragraph" w:styleId="6">
    <w:name w:val="Body Text Indent"/>
    <w:basedOn w:val="1"/>
    <w:next w:val="1"/>
    <w:qFormat/>
    <w:uiPriority w:val="0"/>
    <w:pPr>
      <w:spacing w:after="120"/>
      <w:ind w:left="420" w:leftChars="200"/>
    </w:pPr>
  </w:style>
  <w:style w:type="paragraph" w:styleId="7">
    <w:name w:val="Plain Text"/>
    <w:basedOn w:val="1"/>
    <w:qFormat/>
    <w:uiPriority w:val="0"/>
    <w:rPr>
      <w:rFonts w:ascii="宋体" w:cs="Courier New"/>
      <w:szCs w:val="21"/>
    </w:rPr>
  </w:style>
  <w:style w:type="paragraph" w:styleId="8">
    <w:name w:val="Date"/>
    <w:basedOn w:val="1"/>
    <w:next w:val="1"/>
    <w:uiPriority w:val="0"/>
    <w:rPr>
      <w:rFonts w:ascii="仿宋_GB2312" w:eastAsia="仿宋_GB2312"/>
      <w:sz w:val="32"/>
    </w:rPr>
  </w:style>
  <w:style w:type="paragraph" w:styleId="9">
    <w:name w:val="Body Text Indent 2"/>
    <w:basedOn w:val="1"/>
    <w:qFormat/>
    <w:uiPriority w:val="99"/>
    <w:pPr>
      <w:spacing w:after="120" w:line="480" w:lineRule="auto"/>
      <w:ind w:left="420" w:leftChars="200"/>
    </w:pPr>
  </w:style>
  <w:style w:type="paragraph" w:styleId="10">
    <w:name w:val="Balloon Text"/>
    <w:basedOn w:val="1"/>
    <w:semiHidden/>
    <w:uiPriority w:val="0"/>
    <w:rPr>
      <w:sz w:val="18"/>
      <w:szCs w:val="18"/>
    </w:rPr>
  </w:style>
  <w:style w:type="paragraph" w:styleId="11">
    <w:name w:val="footer"/>
    <w:basedOn w:val="1"/>
    <w:uiPriority w:val="0"/>
    <w:pPr>
      <w:tabs>
        <w:tab w:val="center" w:pos="4153"/>
        <w:tab w:val="right" w:pos="8306"/>
      </w:tabs>
      <w:snapToGrid w:val="0"/>
      <w:jc w:val="left"/>
    </w:pPr>
    <w:rPr>
      <w:sz w:val="18"/>
      <w:szCs w:val="18"/>
    </w:rPr>
  </w:style>
  <w:style w:type="paragraph" w:styleId="12">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Body Text First Indent 2"/>
    <w:basedOn w:val="6"/>
    <w:next w:val="1"/>
    <w:qFormat/>
    <w:uiPriority w:val="0"/>
    <w:pPr>
      <w:ind w:left="200" w:firstLine="420"/>
    </w:pPr>
    <w:rPr>
      <w:rFonts w:hAnsi="仿宋" w:eastAsia="黑体"/>
      <w:b/>
      <w:szCs w:val="32"/>
    </w:rPr>
  </w:style>
  <w:style w:type="character" w:styleId="18">
    <w:name w:val="page number"/>
    <w:basedOn w:val="17"/>
    <w:uiPriority w:val="0"/>
  </w:style>
  <w:style w:type="character" w:customStyle="1" w:styleId="19">
    <w:name w:val="标题 3 Char"/>
    <w:link w:val="5"/>
    <w:qFormat/>
    <w:uiPriority w:val="0"/>
    <w:rPr>
      <w:b/>
    </w:rPr>
  </w:style>
  <w:style w:type="paragraph" w:customStyle="1" w:styleId="20">
    <w:name w:val="TOC 标题1"/>
    <w:basedOn w:val="3"/>
    <w:next w:val="1"/>
    <w:unhideWhenUsed/>
    <w:qFormat/>
    <w:uiPriority w:val="39"/>
    <w:pPr>
      <w:widowControl/>
      <w:spacing w:before="240" w:after="0" w:line="259" w:lineRule="auto"/>
      <w:jc w:val="left"/>
      <w:outlineLvl w:val="9"/>
    </w:pPr>
    <w:rPr>
      <w:rFonts w:ascii="Cambria" w:hAnsi="Cambria" w:cs="Times New Roman"/>
      <w:b w:val="0"/>
      <w:color w:val="366091"/>
      <w:kern w:val="0"/>
      <w:sz w:val="32"/>
    </w:rPr>
  </w:style>
  <w:style w:type="paragraph" w:customStyle="1" w:styleId="21">
    <w:name w:val="BodyText"/>
    <w:basedOn w:val="1"/>
    <w:qFormat/>
    <w:uiPriority w:val="99"/>
    <w:pPr>
      <w:textAlignment w:val="baseline"/>
    </w:pPr>
    <w:rPr>
      <w:rFonts w:ascii="Times New Roman" w:hAnsi="Times New Roman"/>
    </w:rPr>
  </w:style>
  <w:style w:type="character" w:customStyle="1" w:styleId="22">
    <w:name w:val="font01"/>
    <w:basedOn w:val="17"/>
    <w:qFormat/>
    <w:uiPriority w:val="0"/>
    <w:rPr>
      <w:rFonts w:hint="eastAsia" w:ascii="仿宋_GB2312" w:eastAsia="仿宋_GB2312" w:cs="仿宋_GB2312"/>
      <w:color w:val="000000"/>
      <w:sz w:val="24"/>
      <w:szCs w:val="24"/>
      <w:u w:val="none"/>
    </w:rPr>
  </w:style>
  <w:style w:type="character" w:customStyle="1" w:styleId="23">
    <w:name w:val="font61"/>
    <w:basedOn w:val="17"/>
    <w:qFormat/>
    <w:uiPriority w:val="0"/>
    <w:rPr>
      <w:rFonts w:hint="eastAsia" w:ascii="宋体" w:hAnsi="宋体" w:eastAsia="宋体" w:cs="宋体"/>
      <w:color w:val="FF0000"/>
      <w:sz w:val="24"/>
      <w:szCs w:val="24"/>
      <w:u w:val="none"/>
    </w:rPr>
  </w:style>
  <w:style w:type="character" w:customStyle="1" w:styleId="24">
    <w:name w:val="font91"/>
    <w:basedOn w:val="17"/>
    <w:qFormat/>
    <w:uiPriority w:val="0"/>
    <w:rPr>
      <w:rFonts w:hint="eastAsia" w:ascii="宋体" w:hAnsi="宋体" w:eastAsia="宋体" w:cs="宋体"/>
      <w:color w:val="000000"/>
      <w:sz w:val="24"/>
      <w:szCs w:val="24"/>
      <w:u w:val="none"/>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microsoft.com/office/2006/relationships/keyMapCustomizations" Target="customizations.xml"/><Relationship Id="rId21" Type="http://schemas.openxmlformats.org/officeDocument/2006/relationships/customXml" Target="../customXml/item1.xml"/><Relationship Id="rId20" Type="http://schemas.openxmlformats.org/officeDocument/2006/relationships/image" Target="http://10.64.28.11:6888/lw-zwbg-cloud//core/upload/2022/01/10/20220110093951344.bmp" TargetMode="Externa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RJSOFT</Company>
  <Pages>120</Pages>
  <Words>62286</Words>
  <Characters>64114</Characters>
  <Lines>1</Lines>
  <Paragraphs>1</Paragraphs>
  <TotalTime>15.6666666666667</TotalTime>
  <ScaleCrop>false</ScaleCrop>
  <LinksUpToDate>false</LinksUpToDate>
  <CharactersWithSpaces>64444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2012-08-11T08:16:00Z</dcterms:created>
  <dc:creator>RJeGov</dc:creator>
  <cp:lastModifiedBy>Administrator</cp:lastModifiedBy>
  <cp:lastPrinted>2022-01-19T00:52:27Z</cp:lastPrinted>
  <dcterms:modified xsi:type="dcterms:W3CDTF">2023-12-29T02:24:26Z</dcterms:modified>
  <dc:title>正文文件</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ReadHeadColor">
    <vt:r8>255</vt:r8>
  </property>
  <property fmtid="{D5CDD505-2E9C-101B-9397-08002B2CF9AE}" pid="4" name="ICV">
    <vt:lpwstr>7BEF72829D9D4F648F6C62E60ADD6A65</vt:lpwstr>
  </property>
</Properties>
</file>