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61B" w:rsidRPr="008723FD" w:rsidRDefault="006A361B" w:rsidP="006A361B">
      <w:pPr>
        <w:widowControl/>
        <w:shd w:val="clear" w:color="auto" w:fill="FFFFFF"/>
        <w:spacing w:line="580" w:lineRule="exact"/>
        <w:jc w:val="left"/>
        <w:rPr>
          <w:rFonts w:ascii="黑体" w:eastAsia="黑体" w:hAnsi="仿宋_GB2312" w:cs="仿宋_GB2312" w:hint="eastAsia"/>
          <w:kern w:val="0"/>
          <w:szCs w:val="32"/>
        </w:rPr>
      </w:pPr>
      <w:r w:rsidRPr="008723FD">
        <w:rPr>
          <w:rFonts w:ascii="黑体" w:eastAsia="黑体" w:hAnsi="仿宋_GB2312" w:cs="仿宋_GB2312" w:hint="eastAsia"/>
          <w:kern w:val="0"/>
          <w:szCs w:val="32"/>
        </w:rPr>
        <w:t>附件</w:t>
      </w:r>
    </w:p>
    <w:p w:rsidR="006A361B" w:rsidRPr="00575CBF" w:rsidRDefault="006A361B" w:rsidP="006A361B">
      <w:pPr>
        <w:widowControl/>
        <w:shd w:val="clear" w:color="auto" w:fill="FFFFFF"/>
        <w:spacing w:line="580" w:lineRule="exact"/>
        <w:jc w:val="center"/>
        <w:rPr>
          <w:rFonts w:ascii="仿宋_GB2312" w:hAnsi="仿宋_GB2312" w:cs="仿宋_GB2312" w:hint="eastAsia"/>
          <w:kern w:val="0"/>
          <w:szCs w:val="32"/>
        </w:rPr>
      </w:pPr>
      <w:r w:rsidRPr="00575CBF">
        <w:rPr>
          <w:rFonts w:ascii="方正小标宋简体" w:eastAsia="方正小标宋简体" w:hAnsi="黑体" w:cs="黑体" w:hint="eastAsia"/>
          <w:kern w:val="0"/>
          <w:sz w:val="44"/>
          <w:szCs w:val="44"/>
        </w:rPr>
        <w:t>宁德市基本公共文化服务保障实施标准</w:t>
      </w:r>
    </w:p>
    <w:p w:rsidR="006A361B" w:rsidRDefault="006A361B" w:rsidP="006A361B">
      <w:pPr>
        <w:widowControl/>
        <w:shd w:val="clear" w:color="auto" w:fill="FFFFFF"/>
        <w:spacing w:line="580" w:lineRule="exact"/>
        <w:jc w:val="left"/>
        <w:rPr>
          <w:rFonts w:ascii="黑体" w:eastAsia="黑体" w:hAnsi="黑体" w:cs="黑体" w:hint="eastAsia"/>
          <w:kern w:val="0"/>
          <w:szCs w:val="32"/>
        </w:rPr>
      </w:pPr>
      <w:r>
        <w:rPr>
          <w:rFonts w:ascii="黑体" w:eastAsia="黑体" w:hAnsi="黑体" w:cs="黑体" w:hint="eastAsia"/>
          <w:kern w:val="0"/>
          <w:szCs w:val="32"/>
        </w:rPr>
        <w:t>一、服务项目与内容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1"/>
        <w:gridCol w:w="1050"/>
        <w:gridCol w:w="6882"/>
      </w:tblGrid>
      <w:tr w:rsidR="006A361B" w:rsidRPr="008723FD" w:rsidTr="003C245C">
        <w:trPr>
          <w:trHeight w:val="674"/>
        </w:trPr>
        <w:tc>
          <w:tcPr>
            <w:tcW w:w="1051" w:type="dxa"/>
            <w:vAlign w:val="center"/>
          </w:tcPr>
          <w:p w:rsidR="006A361B" w:rsidRPr="008723FD" w:rsidRDefault="006A361B" w:rsidP="003C245C">
            <w:pPr>
              <w:widowControl/>
              <w:spacing w:line="580" w:lineRule="exact"/>
              <w:jc w:val="center"/>
              <w:rPr>
                <w:rFonts w:ascii="黑体" w:eastAsia="黑体" w:hAnsi="黑体" w:cs="仿宋_GB2312" w:hint="eastAsia"/>
                <w:kern w:val="0"/>
                <w:sz w:val="24"/>
              </w:rPr>
            </w:pPr>
            <w:r w:rsidRPr="008723FD">
              <w:rPr>
                <w:rFonts w:ascii="黑体" w:eastAsia="黑体" w:hAnsi="黑体" w:cs="仿宋_GB2312" w:hint="eastAsia"/>
                <w:kern w:val="0"/>
                <w:sz w:val="24"/>
              </w:rPr>
              <w:t>项目</w:t>
            </w:r>
          </w:p>
        </w:tc>
        <w:tc>
          <w:tcPr>
            <w:tcW w:w="1050" w:type="dxa"/>
            <w:vAlign w:val="center"/>
          </w:tcPr>
          <w:p w:rsidR="006A361B" w:rsidRPr="008723FD" w:rsidRDefault="006A361B" w:rsidP="003C245C">
            <w:pPr>
              <w:widowControl/>
              <w:spacing w:line="580" w:lineRule="exact"/>
              <w:jc w:val="center"/>
              <w:rPr>
                <w:rFonts w:ascii="黑体" w:eastAsia="黑体" w:hAnsi="黑体" w:cs="仿宋_GB2312" w:hint="eastAsia"/>
                <w:kern w:val="0"/>
                <w:sz w:val="24"/>
              </w:rPr>
            </w:pPr>
            <w:r w:rsidRPr="008723FD">
              <w:rPr>
                <w:rFonts w:ascii="黑体" w:eastAsia="黑体" w:hAnsi="黑体" w:cs="仿宋_GB2312" w:hint="eastAsia"/>
                <w:kern w:val="0"/>
                <w:sz w:val="24"/>
              </w:rPr>
              <w:t>内容</w:t>
            </w:r>
          </w:p>
        </w:tc>
        <w:tc>
          <w:tcPr>
            <w:tcW w:w="6882" w:type="dxa"/>
            <w:vAlign w:val="center"/>
          </w:tcPr>
          <w:p w:rsidR="006A361B" w:rsidRPr="008723FD" w:rsidRDefault="006A361B" w:rsidP="003C245C">
            <w:pPr>
              <w:widowControl/>
              <w:spacing w:line="580" w:lineRule="exact"/>
              <w:jc w:val="center"/>
              <w:rPr>
                <w:rFonts w:ascii="黑体" w:eastAsia="黑体" w:hAnsi="黑体" w:cs="仿宋_GB2312" w:hint="eastAsia"/>
                <w:kern w:val="0"/>
                <w:sz w:val="24"/>
              </w:rPr>
            </w:pPr>
            <w:r w:rsidRPr="008723FD">
              <w:rPr>
                <w:rFonts w:ascii="黑体" w:eastAsia="黑体" w:hAnsi="黑体" w:cs="仿宋_GB2312" w:hint="eastAsia"/>
                <w:kern w:val="0"/>
                <w:sz w:val="24"/>
              </w:rPr>
              <w:t>标    准</w:t>
            </w:r>
          </w:p>
        </w:tc>
      </w:tr>
      <w:tr w:rsidR="006A361B" w:rsidRPr="008723FD" w:rsidTr="003C245C">
        <w:trPr>
          <w:trHeight w:val="3223"/>
        </w:trPr>
        <w:tc>
          <w:tcPr>
            <w:tcW w:w="1051" w:type="dxa"/>
            <w:vMerge w:val="restart"/>
            <w:vAlign w:val="center"/>
          </w:tcPr>
          <w:p w:rsidR="006A361B" w:rsidRDefault="006A361B" w:rsidP="003C245C">
            <w:pPr>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基本</w:t>
            </w:r>
          </w:p>
          <w:p w:rsidR="006A361B" w:rsidRDefault="006A361B" w:rsidP="003C245C">
            <w:pPr>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服务</w:t>
            </w:r>
          </w:p>
          <w:p w:rsidR="006A361B" w:rsidRPr="008723FD" w:rsidRDefault="006A361B" w:rsidP="003C245C">
            <w:pPr>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项目</w:t>
            </w:r>
          </w:p>
        </w:tc>
        <w:tc>
          <w:tcPr>
            <w:tcW w:w="1050" w:type="dxa"/>
            <w:vAlign w:val="center"/>
          </w:tcPr>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读书</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看报</w:t>
            </w:r>
          </w:p>
        </w:tc>
        <w:tc>
          <w:tcPr>
            <w:tcW w:w="6882" w:type="dxa"/>
            <w:vAlign w:val="center"/>
          </w:tcPr>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1.公共图书馆（室）、乡镇（街道）综合文化站和村（社区）（</w:t>
            </w:r>
            <w:proofErr w:type="gramStart"/>
            <w:r w:rsidRPr="008723FD">
              <w:rPr>
                <w:rFonts w:ascii="仿宋_GB2312" w:hAnsi="仿宋_GB2312" w:cs="仿宋_GB2312" w:hint="eastAsia"/>
                <w:sz w:val="24"/>
                <w:shd w:val="clear" w:color="auto" w:fill="FFFFFF"/>
              </w:rPr>
              <w:t>村指行政村</w:t>
            </w:r>
            <w:proofErr w:type="gramEnd"/>
            <w:r w:rsidRPr="008723FD">
              <w:rPr>
                <w:rFonts w:ascii="仿宋_GB2312" w:hAnsi="仿宋_GB2312" w:cs="仿宋_GB2312" w:hint="eastAsia"/>
                <w:sz w:val="24"/>
                <w:shd w:val="clear" w:color="auto" w:fill="FFFFFF"/>
              </w:rPr>
              <w:t>，下同）综合文化服务中心等配备图书、报刊和电子书刊，并免费提供借阅服务。</w:t>
            </w:r>
          </w:p>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公共图书馆（室）人均藏书量（含电子书刊）不少于1.3册（件），人均年新增藏书量（含电子书刊）不少于0.05册，年开展流动图书服务不少于50次；农家书屋可供借阅的图书不少于1200种、1500册，报纸期刊不少于20种，音像制品和电子出版物不少于100种（张）；</w:t>
            </w:r>
            <w:r w:rsidRPr="008723FD">
              <w:rPr>
                <w:rFonts w:ascii="仿宋_GB2312" w:hAnsi="仿宋_GB2312" w:cs="仿宋_GB2312" w:hint="eastAsia"/>
                <w:spacing w:val="-6"/>
                <w:sz w:val="24"/>
                <w:shd w:val="clear" w:color="auto" w:fill="FFFFFF"/>
              </w:rPr>
              <w:t>年新增图书不少于60种，组织读书活动不少于4次。</w:t>
            </w:r>
          </w:p>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3.在城镇主要街道、公共场所、居民小区等人流密集地点设置阅报栏或电子阅报屏，提供时政、三农、科普、文化、生活等方面的信息服务，适时更新。</w:t>
            </w:r>
          </w:p>
        </w:tc>
      </w:tr>
      <w:tr w:rsidR="006A361B" w:rsidRPr="008723FD" w:rsidTr="003C245C">
        <w:trPr>
          <w:trHeight w:val="1246"/>
        </w:trPr>
        <w:tc>
          <w:tcPr>
            <w:tcW w:w="1051" w:type="dxa"/>
            <w:vMerge/>
            <w:vAlign w:val="center"/>
          </w:tcPr>
          <w:p w:rsidR="006A361B" w:rsidRPr="008723FD" w:rsidRDefault="006A361B" w:rsidP="003C245C">
            <w:pPr>
              <w:spacing w:line="580" w:lineRule="exact"/>
              <w:jc w:val="center"/>
              <w:rPr>
                <w:rFonts w:ascii="仿宋_GB2312" w:hAnsi="仿宋_GB2312" w:cs="仿宋_GB2312" w:hint="eastAsia"/>
                <w:kern w:val="0"/>
                <w:sz w:val="24"/>
              </w:rPr>
            </w:pPr>
          </w:p>
        </w:tc>
        <w:tc>
          <w:tcPr>
            <w:tcW w:w="1050" w:type="dxa"/>
            <w:vAlign w:val="center"/>
          </w:tcPr>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收听</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广播</w:t>
            </w:r>
          </w:p>
        </w:tc>
        <w:tc>
          <w:tcPr>
            <w:tcW w:w="6882" w:type="dxa"/>
            <w:vAlign w:val="center"/>
          </w:tcPr>
          <w:p w:rsidR="006A361B" w:rsidRPr="008723FD" w:rsidRDefault="006A361B" w:rsidP="003C245C">
            <w:pPr>
              <w:adjustRightInd w:val="0"/>
              <w:snapToGrid w:val="0"/>
              <w:spacing w:line="280" w:lineRule="exact"/>
              <w:rPr>
                <w:rFonts w:ascii="仿宋_GB2312" w:hAnsi="仿宋_GB2312" w:cs="仿宋_GB2312" w:hint="eastAsia"/>
                <w:color w:val="FF0000"/>
                <w:sz w:val="24"/>
                <w:shd w:val="clear" w:color="auto" w:fill="FFFFFF"/>
              </w:rPr>
            </w:pPr>
            <w:r w:rsidRPr="008723FD">
              <w:rPr>
                <w:rFonts w:ascii="仿宋_GB2312" w:hAnsi="仿宋_GB2312" w:cs="仿宋_GB2312" w:hint="eastAsia"/>
                <w:sz w:val="24"/>
                <w:shd w:val="clear" w:color="auto" w:fill="FFFFFF"/>
              </w:rPr>
              <w:t>4.为全民提供突发事件应急广播服务，建立省、市、县、乡、村上下贯通的应急广播系统。</w:t>
            </w:r>
          </w:p>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5.通过直播卫星提供不少于17套广播节目，通过无线模拟提供不少于6套广播节目，通过数字音频提供不少于15套广播节目。</w:t>
            </w:r>
          </w:p>
        </w:tc>
      </w:tr>
      <w:tr w:rsidR="006A361B" w:rsidRPr="008723FD" w:rsidTr="003C245C">
        <w:trPr>
          <w:trHeight w:val="1316"/>
        </w:trPr>
        <w:tc>
          <w:tcPr>
            <w:tcW w:w="1051" w:type="dxa"/>
            <w:vMerge/>
            <w:vAlign w:val="center"/>
          </w:tcPr>
          <w:p w:rsidR="006A361B" w:rsidRPr="008723FD" w:rsidRDefault="006A361B" w:rsidP="003C245C">
            <w:pPr>
              <w:spacing w:line="580" w:lineRule="exact"/>
              <w:jc w:val="center"/>
              <w:rPr>
                <w:rFonts w:ascii="仿宋_GB2312" w:hAnsi="仿宋_GB2312" w:cs="仿宋_GB2312" w:hint="eastAsia"/>
                <w:kern w:val="0"/>
                <w:sz w:val="24"/>
              </w:rPr>
            </w:pPr>
          </w:p>
        </w:tc>
        <w:tc>
          <w:tcPr>
            <w:tcW w:w="1050" w:type="dxa"/>
            <w:vAlign w:val="center"/>
          </w:tcPr>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观看</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电视</w:t>
            </w:r>
          </w:p>
        </w:tc>
        <w:tc>
          <w:tcPr>
            <w:tcW w:w="6882" w:type="dxa"/>
            <w:vAlign w:val="center"/>
          </w:tcPr>
          <w:p w:rsidR="006A361B" w:rsidRPr="008723FD" w:rsidRDefault="006A361B" w:rsidP="003C245C">
            <w:pPr>
              <w:adjustRightInd w:val="0"/>
              <w:snapToGrid w:val="0"/>
              <w:spacing w:line="280" w:lineRule="exact"/>
              <w:rPr>
                <w:rFonts w:ascii="仿宋_GB2312" w:hAnsi="仿宋_GB2312" w:cs="仿宋_GB2312" w:hint="eastAsia"/>
                <w:kern w:val="0"/>
                <w:sz w:val="24"/>
              </w:rPr>
            </w:pPr>
            <w:r w:rsidRPr="008723FD">
              <w:rPr>
                <w:rFonts w:ascii="仿宋_GB2312" w:hAnsi="仿宋_GB2312" w:cs="仿宋_GB2312" w:hint="eastAsia"/>
                <w:sz w:val="24"/>
                <w:shd w:val="clear" w:color="auto" w:fill="FFFFFF"/>
              </w:rPr>
              <w:t>6.通过直播卫星提供不少于25套电视节目，在现有无线发射台站有效覆盖区域内通过地面数字电视提供不少于15套电视节目。未完成无线数字转化的地方，提供不少于5套电视节目（中央1、7套，本省、市、县新闻综合类频道各一套）。</w:t>
            </w:r>
          </w:p>
        </w:tc>
      </w:tr>
      <w:tr w:rsidR="006A361B" w:rsidRPr="008723FD" w:rsidTr="003C245C">
        <w:trPr>
          <w:trHeight w:val="1288"/>
        </w:trPr>
        <w:tc>
          <w:tcPr>
            <w:tcW w:w="1051" w:type="dxa"/>
            <w:vMerge/>
            <w:vAlign w:val="center"/>
          </w:tcPr>
          <w:p w:rsidR="006A361B" w:rsidRPr="008723FD" w:rsidRDefault="006A361B" w:rsidP="003C245C">
            <w:pPr>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观赏</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电影</w:t>
            </w:r>
          </w:p>
        </w:tc>
        <w:tc>
          <w:tcPr>
            <w:tcW w:w="6882" w:type="dxa"/>
            <w:vAlign w:val="center"/>
          </w:tcPr>
          <w:p w:rsidR="006A361B" w:rsidRPr="008723FD" w:rsidRDefault="006A361B" w:rsidP="003C245C">
            <w:pPr>
              <w:pStyle w:val="a3"/>
              <w:shd w:val="clear" w:color="auto" w:fill="FFFFFF"/>
              <w:adjustRightInd w:val="0"/>
              <w:snapToGrid w:val="0"/>
              <w:spacing w:line="280" w:lineRule="exact"/>
              <w:rPr>
                <w:rFonts w:ascii="仿宋_GB2312" w:eastAsia="仿宋_GB2312" w:hAnsi="仿宋_GB2312" w:cs="仿宋_GB2312" w:hint="eastAsia"/>
              </w:rPr>
            </w:pPr>
            <w:r w:rsidRPr="008723FD">
              <w:rPr>
                <w:rFonts w:ascii="仿宋_GB2312" w:eastAsia="仿宋_GB2312" w:hAnsi="仿宋_GB2312" w:cs="仿宋_GB2312" w:hint="eastAsia"/>
                <w:shd w:val="clear" w:color="auto" w:fill="FFFFFF"/>
              </w:rPr>
              <w:t>7.为农村群众提供数字电影放映服务，一村一月免费观看1场数字电影，其中每年国产新片(院线上映不超过1年)比例不少于1/3。</w:t>
            </w:r>
          </w:p>
          <w:p w:rsidR="006A361B" w:rsidRPr="008723FD" w:rsidRDefault="006A361B" w:rsidP="003C245C">
            <w:pPr>
              <w:pStyle w:val="a3"/>
              <w:shd w:val="clear" w:color="auto" w:fill="FFFFFF"/>
              <w:adjustRightInd w:val="0"/>
              <w:snapToGrid w:val="0"/>
              <w:spacing w:line="280" w:lineRule="exact"/>
              <w:rPr>
                <w:rFonts w:ascii="仿宋_GB2312" w:eastAsia="仿宋_GB2312" w:hAnsi="仿宋_GB2312" w:cs="仿宋_GB2312" w:hint="eastAsia"/>
                <w:shd w:val="clear" w:color="auto" w:fill="FFFFFF"/>
              </w:rPr>
            </w:pPr>
            <w:r w:rsidRPr="008723FD">
              <w:rPr>
                <w:rFonts w:ascii="仿宋_GB2312" w:eastAsia="仿宋_GB2312" w:hAnsi="仿宋_GB2312" w:cs="仿宋_GB2312" w:hint="eastAsia"/>
                <w:shd w:val="clear" w:color="auto" w:fill="FFFFFF"/>
              </w:rPr>
              <w:t>8.为中小学生每学期（免费）提供2部爱国主义教育影片。</w:t>
            </w:r>
          </w:p>
        </w:tc>
      </w:tr>
      <w:tr w:rsidR="006A361B" w:rsidRPr="008723FD" w:rsidTr="003C245C">
        <w:trPr>
          <w:trHeight w:val="855"/>
        </w:trPr>
        <w:tc>
          <w:tcPr>
            <w:tcW w:w="1051" w:type="dxa"/>
            <w:vMerge/>
            <w:shd w:val="clear" w:color="auto" w:fill="auto"/>
            <w:vAlign w:val="center"/>
          </w:tcPr>
          <w:p w:rsidR="006A361B" w:rsidRPr="008723FD" w:rsidRDefault="006A361B" w:rsidP="003C245C">
            <w:pPr>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送地</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proofErr w:type="gramStart"/>
            <w:r w:rsidRPr="008723FD">
              <w:rPr>
                <w:rFonts w:ascii="仿宋_GB2312" w:hAnsi="仿宋_GB2312" w:cs="仿宋_GB2312" w:hint="eastAsia"/>
                <w:kern w:val="0"/>
                <w:sz w:val="24"/>
              </w:rPr>
              <w:t>方戏</w:t>
            </w:r>
            <w:proofErr w:type="gramEnd"/>
          </w:p>
        </w:tc>
        <w:tc>
          <w:tcPr>
            <w:tcW w:w="6882" w:type="dxa"/>
            <w:vAlign w:val="center"/>
          </w:tcPr>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9.县级及以上政府应重点扶持不少于1支专业戏曲等文艺院团。</w:t>
            </w:r>
          </w:p>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10.根据群众需求，采取政府购买服务等方式，为基层提供免费送戏曲等文艺演出。</w:t>
            </w:r>
          </w:p>
        </w:tc>
      </w:tr>
      <w:tr w:rsidR="006A361B" w:rsidRPr="008723FD" w:rsidTr="003C245C">
        <w:tc>
          <w:tcPr>
            <w:tcW w:w="1051" w:type="dxa"/>
            <w:vMerge/>
            <w:shd w:val="clear" w:color="auto" w:fill="auto"/>
            <w:vAlign w:val="center"/>
          </w:tcPr>
          <w:p w:rsidR="006A361B" w:rsidRPr="008723FD" w:rsidRDefault="006A361B" w:rsidP="003C245C">
            <w:pPr>
              <w:widowControl/>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设施</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开放</w:t>
            </w:r>
          </w:p>
        </w:tc>
        <w:tc>
          <w:tcPr>
            <w:tcW w:w="6882" w:type="dxa"/>
            <w:vAlign w:val="center"/>
          </w:tcPr>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11.公共图书馆、文化馆（站）、博物馆（非文物建筑）等公共文化设施免费开放，每周开放时间不少于42小时，每年开放时间不少于300天；基本服务项目健全。</w:t>
            </w:r>
          </w:p>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12.县级以上公共体育场、全民健身活动中心提供免费开放时段，每周免费开放时段不少于14小时。</w:t>
            </w:r>
          </w:p>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w:t>
            </w:r>
            <w:r w:rsidRPr="00042C57">
              <w:rPr>
                <w:rFonts w:ascii="仿宋_GB2312" w:hAnsi="仿宋_GB2312" w:cs="仿宋_GB2312" w:hint="eastAsia"/>
                <w:spacing w:val="-2"/>
                <w:sz w:val="24"/>
                <w:shd w:val="clear" w:color="auto" w:fill="FFFFFF"/>
              </w:rPr>
              <w:t>3.县级以上工人文化宫、青少年宫、妇女儿童活动中心、科技馆以及青少年校外活动场所等设施免费提供基本公共文化服务项目。</w:t>
            </w:r>
          </w:p>
          <w:p w:rsidR="006A361B" w:rsidRPr="008723FD" w:rsidRDefault="006A361B" w:rsidP="003C245C">
            <w:pPr>
              <w:adjustRightInd w:val="0"/>
              <w:snapToGrid w:val="0"/>
              <w:spacing w:line="28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14.未成年人、老年人、现役军人、残疾人和低收入人群参观文物建筑实行门票减免，文化和自然遗产日免费参观。</w:t>
            </w:r>
          </w:p>
        </w:tc>
      </w:tr>
      <w:tr w:rsidR="006A361B" w:rsidRPr="008723FD" w:rsidTr="003C245C">
        <w:trPr>
          <w:trHeight w:val="4209"/>
        </w:trPr>
        <w:tc>
          <w:tcPr>
            <w:tcW w:w="1051" w:type="dxa"/>
            <w:vMerge w:val="restart"/>
            <w:shd w:val="clear" w:color="auto" w:fill="auto"/>
            <w:vAlign w:val="center"/>
          </w:tcPr>
          <w:p w:rsidR="006A361B"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lastRenderedPageBreak/>
              <w:t>基本</w:t>
            </w:r>
          </w:p>
          <w:p w:rsidR="006A361B"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服务</w:t>
            </w:r>
          </w:p>
          <w:p w:rsidR="006A361B" w:rsidRPr="008723FD"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项目</w:t>
            </w: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文体</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活动</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15.公共图书馆年举办公益性讲座、培训等活动市级不少于50次，县级不少于20次。</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16.文化馆每年举办公益性展览展示不少于10次，年开展群众文体活动不少于12次，乡镇（街道）综合文化站年开展群众文体活动不少于12次，村（社区）综合文化服务中心年开展群众文体活动不少于2次。</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17.公共博物馆年举办临时展览市级不少于5次，县级不少于2次。</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18.城乡居民依托村（社区）综合性文化服务中心、文体广场、公园、健身路径等公共文化设施就近方便参加各类文体活动。</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19.公共文化体育机构免费辅导群众开展常态化文体活动。</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20.文化馆、体育场组织开展年不少于1次针对残障人士、未成年人、老年人和农民工等特殊群体的文体活动。</w:t>
            </w:r>
          </w:p>
        </w:tc>
      </w:tr>
      <w:tr w:rsidR="006A361B" w:rsidRPr="008723FD" w:rsidTr="003C245C">
        <w:trPr>
          <w:trHeight w:val="1386"/>
        </w:trPr>
        <w:tc>
          <w:tcPr>
            <w:tcW w:w="1051" w:type="dxa"/>
            <w:vMerge/>
            <w:vAlign w:val="center"/>
          </w:tcPr>
          <w:p w:rsidR="006A361B" w:rsidRPr="008723FD" w:rsidRDefault="006A361B" w:rsidP="003C245C">
            <w:pPr>
              <w:widowControl/>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数字</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服务</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21.文化信息资源共享工程分支中心、各级公共图书馆、文化馆（站、中心）建有公共电子阅览室，并免费提供上网服务。</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22.通过手机、电脑等网络终端可以享受到数字文化服务。</w:t>
            </w:r>
          </w:p>
        </w:tc>
      </w:tr>
      <w:tr w:rsidR="006A361B" w:rsidRPr="008723FD" w:rsidTr="003C245C">
        <w:trPr>
          <w:trHeight w:val="5006"/>
        </w:trPr>
        <w:tc>
          <w:tcPr>
            <w:tcW w:w="1051" w:type="dxa"/>
            <w:vMerge w:val="restart"/>
            <w:vAlign w:val="center"/>
          </w:tcPr>
          <w:p w:rsidR="006A361B"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硬件</w:t>
            </w:r>
          </w:p>
          <w:p w:rsidR="006A361B" w:rsidRPr="008723FD"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设施</w:t>
            </w: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文化</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设施</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23.县级以上在辖区内设立公共图书馆、文化馆、公共博物馆。公共图书馆、文化馆按照不低于《公共图书馆建设标准》（建标108-2008）、《文化馆建设标准》（建标〔</w:t>
            </w:r>
            <w:r w:rsidRPr="008723FD">
              <w:rPr>
                <w:rFonts w:ascii="仿宋_GB2312" w:hAnsi="仿宋_GB2312" w:cs="仿宋_GB2312"/>
                <w:sz w:val="24"/>
                <w:shd w:val="clear" w:color="auto" w:fill="FFFFFF"/>
              </w:rPr>
              <w:t>20</w:t>
            </w:r>
            <w:r w:rsidRPr="008723FD">
              <w:rPr>
                <w:rFonts w:ascii="仿宋_GB2312" w:hAnsi="仿宋_GB2312" w:cs="仿宋_GB2312" w:hint="eastAsia"/>
                <w:sz w:val="24"/>
                <w:shd w:val="clear" w:color="auto" w:fill="FFFFFF"/>
              </w:rPr>
              <w:t>10〕136号）等进行规划建设。公共博物馆按照《博物馆建筑设计规范》标准建设进行规划建设。</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24.县级在辖区内设立乡镇（街道）综合文化站，乡镇（街道）综合文化站按照不低于《乡镇综合文化站建设标准》（建标160-2012）标准进行规划建设。</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25.结合基层公共服务综合设施建设，整合闲置中小学校等资源，在村（社区）统筹建设综合文化服务中心。村（社区）综合文化服务中心按照“六个一”标准建设：1间多功能文化活动室、1间图书阅览室（可供借阅的实用图书不少于1500册）、1个文化广场（不少于500平方米，有阅报栏、灯光等设施）、1套群众体育活动器材设备、1套简易音响设备等文艺器材、1支文体活动队伍。村（社区）综合文化服务中心室内建筑面积应不少于120平方米。</w:t>
            </w:r>
          </w:p>
        </w:tc>
      </w:tr>
      <w:tr w:rsidR="006A361B" w:rsidRPr="008723FD" w:rsidTr="003C245C">
        <w:trPr>
          <w:trHeight w:val="1135"/>
        </w:trPr>
        <w:tc>
          <w:tcPr>
            <w:tcW w:w="1051" w:type="dxa"/>
            <w:vMerge/>
            <w:vAlign w:val="center"/>
          </w:tcPr>
          <w:p w:rsidR="006A361B" w:rsidRPr="008723FD" w:rsidRDefault="006A361B" w:rsidP="003C245C">
            <w:pPr>
              <w:widowControl/>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广电</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设施</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26.县级以上设立广播电视播出机构和广播电视发射(监测）台，按照广播电视工程建设标准等进行建设。</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27.城乡人流密集地点设置公共阅报栏（屏）。</w:t>
            </w:r>
          </w:p>
        </w:tc>
      </w:tr>
      <w:tr w:rsidR="006A361B" w:rsidRPr="008723FD" w:rsidTr="003C245C">
        <w:trPr>
          <w:trHeight w:val="557"/>
        </w:trPr>
        <w:tc>
          <w:tcPr>
            <w:tcW w:w="1051" w:type="dxa"/>
            <w:vMerge/>
            <w:vAlign w:val="center"/>
          </w:tcPr>
          <w:p w:rsidR="006A361B" w:rsidRPr="008723FD" w:rsidRDefault="006A361B" w:rsidP="003C245C">
            <w:pPr>
              <w:widowControl/>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体育</w:t>
            </w:r>
          </w:p>
          <w:p w:rsidR="006A361B" w:rsidRPr="008723FD" w:rsidRDefault="006A361B" w:rsidP="003C245C">
            <w:pPr>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设施</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28.设区市、县（市、区）、乡镇（街道）、村（社区）根据辖区群众健身需求，重点做好建设公共体育场馆、多功能运动场、足球场、体育公园、健身步道、登山步道等便民场地设施，提高健身场地覆盖面和人均场地面积，满足群众健身要求。</w:t>
            </w:r>
          </w:p>
        </w:tc>
      </w:tr>
      <w:tr w:rsidR="006A361B" w:rsidRPr="008723FD" w:rsidTr="003C245C">
        <w:trPr>
          <w:trHeight w:val="1266"/>
        </w:trPr>
        <w:tc>
          <w:tcPr>
            <w:tcW w:w="1051" w:type="dxa"/>
            <w:vMerge w:val="restart"/>
            <w:vAlign w:val="center"/>
          </w:tcPr>
          <w:p w:rsidR="006A361B"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lastRenderedPageBreak/>
              <w:t>硬件</w:t>
            </w:r>
          </w:p>
          <w:p w:rsidR="006A361B" w:rsidRPr="008723FD"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设施</w:t>
            </w: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流动</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设施</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29.根据基层实际，配备用于图书借阅、文艺演出、电影放映等服务的流动文化车，开展流动文化服务。</w:t>
            </w:r>
          </w:p>
        </w:tc>
      </w:tr>
      <w:tr w:rsidR="006A361B" w:rsidRPr="008723FD" w:rsidTr="003C245C">
        <w:tc>
          <w:tcPr>
            <w:tcW w:w="1051" w:type="dxa"/>
            <w:vMerge/>
            <w:vAlign w:val="center"/>
          </w:tcPr>
          <w:p w:rsidR="006A361B" w:rsidRPr="008723FD" w:rsidRDefault="006A361B" w:rsidP="003C245C">
            <w:pPr>
              <w:widowControl/>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辅助</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设施</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30.各级公共文化设施为残疾人、老年人配备无障碍设施和安全检查设备。</w:t>
            </w:r>
          </w:p>
        </w:tc>
      </w:tr>
      <w:tr w:rsidR="006A361B" w:rsidRPr="008723FD" w:rsidTr="003C245C">
        <w:trPr>
          <w:trHeight w:val="2294"/>
        </w:trPr>
        <w:tc>
          <w:tcPr>
            <w:tcW w:w="1051" w:type="dxa"/>
            <w:vMerge w:val="restart"/>
            <w:vAlign w:val="center"/>
          </w:tcPr>
          <w:p w:rsidR="006A361B"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人员</w:t>
            </w:r>
          </w:p>
          <w:p w:rsidR="006A361B" w:rsidRPr="008723FD"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配备</w:t>
            </w:r>
          </w:p>
        </w:tc>
        <w:tc>
          <w:tcPr>
            <w:tcW w:w="1050" w:type="dxa"/>
            <w:vAlign w:val="center"/>
          </w:tcPr>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人员</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编制</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31.县级以上公共文化机构按照职能职责、国家有关要求和当地编办核准的编制数配齐工作人员。</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32.乡镇综合文化站每站配备有编制人员1至2人，规模较大的乡镇适当增加。</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33.村（社区）公共服务中心设有由政府购买的公益性文化岗位。鼓励大学生村官从事基层文化工作。</w:t>
            </w:r>
          </w:p>
        </w:tc>
      </w:tr>
      <w:tr w:rsidR="006A361B" w:rsidRPr="008723FD" w:rsidTr="003C245C">
        <w:trPr>
          <w:trHeight w:val="1190"/>
        </w:trPr>
        <w:tc>
          <w:tcPr>
            <w:tcW w:w="1051" w:type="dxa"/>
            <w:vMerge/>
            <w:vAlign w:val="center"/>
          </w:tcPr>
          <w:p w:rsidR="006A361B" w:rsidRPr="008723FD" w:rsidRDefault="006A361B" w:rsidP="003C245C">
            <w:pPr>
              <w:widowControl/>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业务</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培训</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34.县级以上公共文化机构从业人员每年参加脱产培训时间不少于15天，乡镇（街道）、村（社区）文化专兼职人员每年参加集中培训时间不少于5天。</w:t>
            </w:r>
          </w:p>
        </w:tc>
      </w:tr>
      <w:tr w:rsidR="006A361B" w:rsidRPr="008723FD" w:rsidTr="003C245C">
        <w:trPr>
          <w:trHeight w:val="2937"/>
        </w:trPr>
        <w:tc>
          <w:tcPr>
            <w:tcW w:w="1051" w:type="dxa"/>
            <w:vMerge w:val="restart"/>
            <w:vAlign w:val="center"/>
          </w:tcPr>
          <w:p w:rsidR="006A361B"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保障</w:t>
            </w:r>
          </w:p>
          <w:p w:rsidR="006A361B" w:rsidRPr="008723FD" w:rsidRDefault="006A361B" w:rsidP="003C245C">
            <w:pPr>
              <w:widowControl/>
              <w:spacing w:line="58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措施</w:t>
            </w: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基本</w:t>
            </w:r>
          </w:p>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服务</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保障</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35.县级以上地方政府将基本公共文化服务设施基本运行、免费开放以及为农村、社区、工厂和中小学等公益电影放映本级应承担部分等保障资金纳入本级公共财政预算，落实保障当地常驻人口享有基本公共文化服务项目所需资金。</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36.县级以上政府通过购买服务等方式面向企业、按事业单位分类改革应划入公益二类或转为企业的事业单位、社会组织购买公共文化服务，购买公共文化服务所需资金，纳入财政预算。</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37.县级以上政府设立农村文化建设专项资金，用于支持基层公共文化建设。</w:t>
            </w:r>
          </w:p>
        </w:tc>
      </w:tr>
      <w:tr w:rsidR="006A361B" w:rsidRPr="008723FD" w:rsidTr="003C245C">
        <w:trPr>
          <w:trHeight w:val="1484"/>
        </w:trPr>
        <w:tc>
          <w:tcPr>
            <w:tcW w:w="1051" w:type="dxa"/>
            <w:vMerge/>
          </w:tcPr>
          <w:p w:rsidR="006A361B" w:rsidRPr="008723FD" w:rsidRDefault="006A361B" w:rsidP="003C245C">
            <w:pPr>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人员</w:t>
            </w:r>
          </w:p>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经费</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保障</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38.公共文化服务机构在编在岗人员经费纳入部门预算统筹安排。</w:t>
            </w:r>
          </w:p>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39.县级以上政府购买公益性公共文化服务岗位的经费由本级政府承担。</w:t>
            </w:r>
          </w:p>
        </w:tc>
      </w:tr>
      <w:tr w:rsidR="006A361B" w:rsidRPr="008723FD" w:rsidTr="003C245C">
        <w:trPr>
          <w:trHeight w:val="1133"/>
        </w:trPr>
        <w:tc>
          <w:tcPr>
            <w:tcW w:w="1051" w:type="dxa"/>
            <w:vMerge/>
          </w:tcPr>
          <w:p w:rsidR="006A361B" w:rsidRPr="008723FD" w:rsidRDefault="006A361B" w:rsidP="003C245C">
            <w:pPr>
              <w:widowControl/>
              <w:spacing w:line="580" w:lineRule="exact"/>
              <w:jc w:val="center"/>
              <w:rPr>
                <w:rFonts w:ascii="仿宋_GB2312" w:hAnsi="仿宋_GB2312" w:cs="仿宋_GB2312" w:hint="eastAsia"/>
                <w:kern w:val="0"/>
                <w:sz w:val="24"/>
              </w:rPr>
            </w:pPr>
          </w:p>
        </w:tc>
        <w:tc>
          <w:tcPr>
            <w:tcW w:w="1050" w:type="dxa"/>
            <w:vAlign w:val="center"/>
          </w:tcPr>
          <w:p w:rsidR="006A361B"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考核</w:t>
            </w:r>
          </w:p>
          <w:p w:rsidR="006A361B" w:rsidRPr="008723FD" w:rsidRDefault="006A361B" w:rsidP="003C245C">
            <w:pPr>
              <w:widowControl/>
              <w:adjustRightInd w:val="0"/>
              <w:snapToGrid w:val="0"/>
              <w:spacing w:line="400" w:lineRule="exact"/>
              <w:jc w:val="center"/>
              <w:rPr>
                <w:rFonts w:ascii="仿宋_GB2312" w:hAnsi="仿宋_GB2312" w:cs="仿宋_GB2312" w:hint="eastAsia"/>
                <w:kern w:val="0"/>
                <w:sz w:val="24"/>
              </w:rPr>
            </w:pPr>
            <w:r w:rsidRPr="008723FD">
              <w:rPr>
                <w:rFonts w:ascii="仿宋_GB2312" w:hAnsi="仿宋_GB2312" w:cs="仿宋_GB2312" w:hint="eastAsia"/>
                <w:kern w:val="0"/>
                <w:sz w:val="24"/>
              </w:rPr>
              <w:t>督导</w:t>
            </w:r>
          </w:p>
        </w:tc>
        <w:tc>
          <w:tcPr>
            <w:tcW w:w="6882" w:type="dxa"/>
            <w:vAlign w:val="center"/>
          </w:tcPr>
          <w:p w:rsidR="006A361B" w:rsidRPr="008723FD" w:rsidRDefault="006A361B" w:rsidP="003C245C">
            <w:pPr>
              <w:adjustRightInd w:val="0"/>
              <w:snapToGrid w:val="0"/>
              <w:spacing w:line="300" w:lineRule="exact"/>
              <w:rPr>
                <w:rFonts w:ascii="仿宋_GB2312" w:hAnsi="仿宋_GB2312" w:cs="仿宋_GB2312" w:hint="eastAsia"/>
                <w:sz w:val="24"/>
                <w:shd w:val="clear" w:color="auto" w:fill="FFFFFF"/>
              </w:rPr>
            </w:pPr>
            <w:r w:rsidRPr="008723FD">
              <w:rPr>
                <w:rFonts w:ascii="仿宋_GB2312" w:hAnsi="仿宋_GB2312" w:cs="仿宋_GB2312" w:hint="eastAsia"/>
                <w:sz w:val="24"/>
                <w:shd w:val="clear" w:color="auto" w:fill="FFFFFF"/>
              </w:rPr>
              <w:t>40.建立各级党委政府对公共文化服务工作考核和督导制度并实施，结果纳入年度政府绩效考核。</w:t>
            </w:r>
          </w:p>
        </w:tc>
      </w:tr>
    </w:tbl>
    <w:p w:rsidR="006A361B" w:rsidRDefault="006A361B" w:rsidP="006A361B">
      <w:pPr>
        <w:numPr>
          <w:ilvl w:val="0"/>
          <w:numId w:val="1"/>
        </w:numPr>
        <w:shd w:val="clear" w:color="auto" w:fill="FFFFFF"/>
        <w:adjustRightInd w:val="0"/>
        <w:snapToGrid w:val="0"/>
        <w:spacing w:line="580" w:lineRule="exact"/>
        <w:ind w:leftChars="257" w:left="822"/>
        <w:rPr>
          <w:rFonts w:ascii="黑体" w:eastAsia="黑体" w:hAnsi="黑体" w:cs="黑体" w:hint="eastAsia"/>
          <w:kern w:val="0"/>
          <w:szCs w:val="32"/>
        </w:rPr>
      </w:pPr>
      <w:r>
        <w:rPr>
          <w:rFonts w:ascii="黑体" w:eastAsia="黑体" w:hAnsi="黑体" w:cs="黑体" w:hint="eastAsia"/>
          <w:kern w:val="0"/>
          <w:szCs w:val="32"/>
        </w:rPr>
        <w:t>标准实施</w:t>
      </w:r>
    </w:p>
    <w:p w:rsidR="006A361B" w:rsidRDefault="006A361B" w:rsidP="006A361B">
      <w:pPr>
        <w:numPr>
          <w:ilvl w:val="0"/>
          <w:numId w:val="2"/>
        </w:numPr>
        <w:shd w:val="clear" w:color="auto" w:fill="FFFFFF"/>
        <w:adjustRightInd w:val="0"/>
        <w:snapToGrid w:val="0"/>
        <w:spacing w:line="58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本标准依据国家、省颁布的指导标准，结合我市实际、制定的实施标准，各县（市、区）可结合当地群众需求、政府财政能力和地域文化特色</w:t>
      </w:r>
      <w:r>
        <w:rPr>
          <w:rFonts w:ascii="仿宋_GB2312" w:hAnsi="仿宋_GB2312" w:cs="仿宋_GB2312"/>
          <w:kern w:val="0"/>
          <w:szCs w:val="32"/>
        </w:rPr>
        <w:t>,</w:t>
      </w:r>
      <w:r>
        <w:rPr>
          <w:rFonts w:ascii="仿宋_GB2312" w:hAnsi="仿宋_GB2312" w:cs="仿宋_GB2312" w:hint="eastAsia"/>
          <w:kern w:val="0"/>
          <w:szCs w:val="32"/>
        </w:rPr>
        <w:t>制定适合本地的实施标</w:t>
      </w:r>
      <w:r>
        <w:rPr>
          <w:rFonts w:ascii="仿宋_GB2312" w:hAnsi="仿宋_GB2312" w:cs="仿宋_GB2312" w:hint="eastAsia"/>
          <w:kern w:val="0"/>
          <w:szCs w:val="32"/>
        </w:rPr>
        <w:lastRenderedPageBreak/>
        <w:t>准。标准以县为基本单位推进落实。</w:t>
      </w:r>
    </w:p>
    <w:p w:rsidR="006A361B" w:rsidRDefault="006A361B" w:rsidP="006A361B">
      <w:pPr>
        <w:numPr>
          <w:ilvl w:val="0"/>
          <w:numId w:val="2"/>
        </w:numPr>
        <w:shd w:val="clear" w:color="auto" w:fill="FFFFFF"/>
        <w:adjustRightInd w:val="0"/>
        <w:snapToGrid w:val="0"/>
        <w:spacing w:line="58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县级以上各级政府要按照标准科学测算所需经费，将基本公共文化服务保障资金纳入财政预算，落实保障当地常住人口享有基本公共文化服务所需资金。中央和省级财政通过有关专项和一般转移支付对欠发达地区基本公共文化服务保障资金予以补助</w:t>
      </w:r>
      <w:r>
        <w:rPr>
          <w:rFonts w:ascii="仿宋_GB2312" w:hAnsi="仿宋_GB2312" w:cs="仿宋_GB2312"/>
          <w:kern w:val="0"/>
          <w:szCs w:val="32"/>
        </w:rPr>
        <w:t>,</w:t>
      </w:r>
      <w:r>
        <w:rPr>
          <w:rFonts w:ascii="仿宋_GB2312" w:hAnsi="仿宋_GB2312" w:cs="仿宋_GB2312" w:hint="eastAsia"/>
          <w:kern w:val="0"/>
          <w:szCs w:val="32"/>
        </w:rPr>
        <w:t>同时</w:t>
      </w:r>
      <w:r>
        <w:rPr>
          <w:rFonts w:ascii="仿宋_GB2312" w:hAnsi="仿宋_GB2312" w:cs="仿宋_GB2312"/>
          <w:kern w:val="0"/>
          <w:szCs w:val="32"/>
        </w:rPr>
        <w:t>,</w:t>
      </w:r>
      <w:r>
        <w:rPr>
          <w:rFonts w:ascii="仿宋_GB2312" w:hAnsi="仿宋_GB2312" w:cs="仿宋_GB2312" w:hint="eastAsia"/>
          <w:kern w:val="0"/>
          <w:szCs w:val="32"/>
        </w:rPr>
        <w:t>对绩效评价结果优良的地区予以奖励。</w:t>
      </w:r>
    </w:p>
    <w:p w:rsidR="006A361B" w:rsidRDefault="006A361B" w:rsidP="006A361B">
      <w:pPr>
        <w:shd w:val="clear" w:color="auto" w:fill="FFFFFF"/>
        <w:adjustRightInd w:val="0"/>
        <w:snapToGrid w:val="0"/>
        <w:spacing w:line="580" w:lineRule="exact"/>
        <w:ind w:firstLineChars="200" w:firstLine="640"/>
        <w:rPr>
          <w:rFonts w:ascii="仿宋_GB2312" w:hAnsi="仿宋_GB2312" w:cs="仿宋_GB2312" w:hint="eastAsia"/>
          <w:kern w:val="0"/>
          <w:szCs w:val="32"/>
        </w:rPr>
      </w:pPr>
      <w:r>
        <w:rPr>
          <w:rFonts w:ascii="仿宋_GB2312" w:hAnsi="仿宋_GB2312" w:cs="仿宋_GB2312" w:hint="eastAsia"/>
          <w:kern w:val="0"/>
          <w:szCs w:val="32"/>
        </w:rPr>
        <w:t>（三）</w:t>
      </w:r>
      <w:proofErr w:type="gramStart"/>
      <w:r>
        <w:rPr>
          <w:rFonts w:ascii="仿宋_GB2312" w:hAnsi="仿宋_GB2312" w:cs="仿宋_GB2312" w:hint="eastAsia"/>
          <w:kern w:val="0"/>
          <w:szCs w:val="32"/>
        </w:rPr>
        <w:t>文旅部门</w:t>
      </w:r>
      <w:proofErr w:type="gramEnd"/>
      <w:r>
        <w:rPr>
          <w:rFonts w:ascii="仿宋_GB2312" w:hAnsi="仿宋_GB2312" w:cs="仿宋_GB2312" w:hint="eastAsia"/>
          <w:kern w:val="0"/>
          <w:szCs w:val="32"/>
        </w:rPr>
        <w:t>将会同有关部门建立对标准实施情况的动态监测机制和绩效评价机制</w:t>
      </w:r>
      <w:r>
        <w:rPr>
          <w:rFonts w:ascii="仿宋_GB2312" w:hAnsi="仿宋_GB2312" w:cs="仿宋_GB2312"/>
          <w:kern w:val="0"/>
          <w:szCs w:val="32"/>
        </w:rPr>
        <w:t>,</w:t>
      </w:r>
      <w:r>
        <w:rPr>
          <w:rFonts w:ascii="仿宋_GB2312" w:hAnsi="仿宋_GB2312" w:cs="仿宋_GB2312" w:hint="eastAsia"/>
          <w:kern w:val="0"/>
          <w:szCs w:val="32"/>
        </w:rPr>
        <w:t>加强督促检查，适时组织检查督促。积极引入社会第三方开展公众满意度测评</w:t>
      </w:r>
      <w:r>
        <w:rPr>
          <w:rFonts w:ascii="仿宋_GB2312" w:hAnsi="仿宋_GB2312" w:cs="仿宋_GB2312"/>
          <w:kern w:val="0"/>
          <w:szCs w:val="32"/>
        </w:rPr>
        <w:t>,</w:t>
      </w:r>
      <w:r>
        <w:rPr>
          <w:rFonts w:ascii="仿宋_GB2312" w:hAnsi="仿宋_GB2312" w:cs="仿宋_GB2312" w:hint="eastAsia"/>
          <w:kern w:val="0"/>
          <w:szCs w:val="32"/>
        </w:rPr>
        <w:t>对公众满意度较差的进行通报批评</w:t>
      </w:r>
      <w:r>
        <w:rPr>
          <w:rFonts w:ascii="仿宋_GB2312" w:hAnsi="仿宋_GB2312" w:cs="仿宋_GB2312"/>
          <w:kern w:val="0"/>
          <w:szCs w:val="32"/>
        </w:rPr>
        <w:t>,</w:t>
      </w:r>
      <w:r>
        <w:rPr>
          <w:rFonts w:ascii="仿宋_GB2312" w:hAnsi="仿宋_GB2312" w:cs="仿宋_GB2312" w:hint="eastAsia"/>
          <w:kern w:val="0"/>
          <w:szCs w:val="32"/>
        </w:rPr>
        <w:t>对好的经验和做法及时总结推广。</w:t>
      </w:r>
    </w:p>
    <w:p w:rsidR="006A361B" w:rsidRPr="001C40A9" w:rsidRDefault="006A361B" w:rsidP="006A361B">
      <w:pPr>
        <w:spacing w:line="596" w:lineRule="exact"/>
        <w:ind w:firstLine="640"/>
        <w:textAlignment w:val="top"/>
        <w:rPr>
          <w:rFonts w:hint="eastAsia"/>
          <w:szCs w:val="31"/>
        </w:rPr>
      </w:pPr>
    </w:p>
    <w:p w:rsidR="00B754B2" w:rsidRPr="006A361B" w:rsidRDefault="00B754B2"/>
    <w:sectPr w:rsidR="00B754B2" w:rsidRPr="006A361B" w:rsidSect="00B754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9B467"/>
    <w:multiLevelType w:val="singleLevel"/>
    <w:tmpl w:val="9E19B467"/>
    <w:lvl w:ilvl="0">
      <w:start w:val="1"/>
      <w:numFmt w:val="chineseCounting"/>
      <w:suff w:val="nothing"/>
      <w:lvlText w:val="（%1）"/>
      <w:lvlJc w:val="left"/>
      <w:rPr>
        <w:rFonts w:hint="eastAsia"/>
      </w:rPr>
    </w:lvl>
  </w:abstractNum>
  <w:abstractNum w:abstractNumId="1">
    <w:nsid w:val="56AE05F9"/>
    <w:multiLevelType w:val="singleLevel"/>
    <w:tmpl w:val="56AE05F9"/>
    <w:lvl w:ilvl="0">
      <w:start w:val="2"/>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361B"/>
    <w:rsid w:val="006A361B"/>
    <w:rsid w:val="00B754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1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361B"/>
    <w:pPr>
      <w:spacing w:before="100" w:beforeAutospacing="1" w:after="100" w:afterAutospacing="1"/>
      <w:jc w:val="left"/>
    </w:pPr>
    <w:rPr>
      <w:rFonts w:eastAsia="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2020-07-29T08:54:00Z</dcterms:created>
  <dcterms:modified xsi:type="dcterms:W3CDTF">2020-07-29T08:54:00Z</dcterms:modified>
</cp:coreProperties>
</file>