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18" w:rsidRDefault="00472218" w:rsidP="00472218">
      <w:pPr>
        <w:snapToGrid w:val="0"/>
        <w:spacing w:line="560" w:lineRule="exact"/>
        <w:ind w:right="24"/>
        <w:rPr>
          <w:rFonts w:ascii="黑体" w:eastAsia="黑体" w:hint="eastAsia"/>
          <w:spacing w:val="-6"/>
        </w:rPr>
      </w:pPr>
      <w:r w:rsidRPr="00744233">
        <w:rPr>
          <w:rFonts w:ascii="黑体" w:eastAsia="黑体" w:hint="eastAsia"/>
          <w:spacing w:val="-6"/>
        </w:rPr>
        <w:t>附件</w:t>
      </w:r>
    </w:p>
    <w:p w:rsidR="00472218" w:rsidRDefault="00472218" w:rsidP="00472218">
      <w:pPr>
        <w:snapToGrid w:val="0"/>
        <w:spacing w:line="560" w:lineRule="exact"/>
        <w:ind w:right="24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063B29">
        <w:rPr>
          <w:rFonts w:ascii="黑体" w:eastAsia="黑体" w:hAnsi="宋体" w:cs="宋体" w:hint="eastAsia"/>
          <w:kern w:val="0"/>
          <w:sz w:val="36"/>
          <w:szCs w:val="36"/>
        </w:rPr>
        <w:t>宁德市2021年国民经济和社会发展计划主要指标表</w:t>
      </w:r>
    </w:p>
    <w:p w:rsidR="00472218" w:rsidRPr="00744233" w:rsidRDefault="00472218" w:rsidP="00472218">
      <w:pPr>
        <w:snapToGrid w:val="0"/>
        <w:spacing w:line="560" w:lineRule="exact"/>
        <w:ind w:right="24"/>
        <w:rPr>
          <w:rFonts w:ascii="黑体" w:eastAsia="黑体" w:hint="eastAsia"/>
          <w:spacing w:val="-6"/>
        </w:rPr>
      </w:pPr>
    </w:p>
    <w:tbl>
      <w:tblPr>
        <w:tblW w:w="8806" w:type="dxa"/>
        <w:tblInd w:w="93" w:type="dxa"/>
        <w:tblLook w:val="0000"/>
      </w:tblPr>
      <w:tblGrid>
        <w:gridCol w:w="4580"/>
        <w:gridCol w:w="2196"/>
        <w:gridCol w:w="2030"/>
        <w:tblGridChange w:id="0">
          <w:tblGrid>
            <w:gridCol w:w="4580"/>
            <w:gridCol w:w="2196"/>
            <w:gridCol w:w="2030"/>
          </w:tblGrid>
        </w:tblGridChange>
      </w:tblGrid>
      <w:tr w:rsidR="00472218" w:rsidRPr="00744233" w:rsidTr="008339EE">
        <w:trPr>
          <w:trHeight w:val="624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 xml:space="preserve">栏目 </w:t>
            </w: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br/>
              <w:t xml:space="preserve">      指标 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2020年增长(%)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2021年预期</w:t>
            </w:r>
          </w:p>
          <w:p w:rsidR="00472218" w:rsidRPr="00744233" w:rsidRDefault="00472218" w:rsidP="008339EE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4423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增长(%)</w:t>
            </w:r>
          </w:p>
        </w:tc>
      </w:tr>
      <w:tr w:rsidR="00472218" w:rsidRPr="00063B29" w:rsidTr="008339EE">
        <w:trPr>
          <w:trHeight w:val="624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一、地区生产总值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9以上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   第一产业增加值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2.6 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   第二产业增加值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6.6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12.5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其中：建筑业增加值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4.7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 xml:space="preserve">     第三产业增加值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6.3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二、规模以上工业增加值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7.4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15 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三、一般公共预算总收入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5.3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四、地方一般公共预算收入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8.6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五、固定资产投资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0.7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5,力争7.5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六、社会消费品零售总额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-2.7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472218" w:rsidRPr="00063B29" w:rsidTr="008339EE">
        <w:trPr>
          <w:trHeight w:val="52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七、出口总值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17.9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八、实际利用外资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5.1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九、城镇居民人均可支配收入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3.4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472218" w:rsidRPr="00063B29" w:rsidTr="008339EE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left"/>
              <w:rPr>
                <w:rFonts w:ascii="仿宋_GB2312" w:hAnsi="宋体" w:cs="宋体"/>
                <w:bCs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十、农村居民人均可支配收入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18" w:rsidRPr="00744233" w:rsidRDefault="00472218" w:rsidP="008339EE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44233">
              <w:rPr>
                <w:rFonts w:ascii="仿宋_GB2312" w:hAnsi="宋体" w:cs="宋体" w:hint="eastAsia"/>
                <w:kern w:val="0"/>
                <w:sz w:val="28"/>
                <w:szCs w:val="28"/>
              </w:rPr>
              <w:t>8.5</w:t>
            </w:r>
          </w:p>
        </w:tc>
      </w:tr>
    </w:tbl>
    <w:p w:rsidR="00582942" w:rsidRDefault="00582942"/>
    <w:sectPr w:rsidR="00582942" w:rsidSect="00582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218"/>
    <w:rsid w:val="00472218"/>
    <w:rsid w:val="0058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1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2021-02-08T08:56:00Z</dcterms:created>
  <dcterms:modified xsi:type="dcterms:W3CDTF">2021-02-08T08:57:00Z</dcterms:modified>
</cp:coreProperties>
</file>